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Extra anpassningar</w:t>
      </w:r>
    </w:p>
    <w:p>
      <w:r>
        <w:rPr>
          <w:i/>
        </w:rPr>
        <w:t>100 beprövade anpassningar för F–9, ordnade efter elevens behov</w:t>
      </w:r>
    </w:p>
    <w:p>
      <w:r>
        <w:t>Extra anpassningar är stöd som ges inom den ordinarie undervisningen när ledning och stimulans för hela gruppen inte räcker för en enskild elev (skollagen 3 kap. 5 §). De kräver inget formellt beslut men ska dokumenteras och följas upp. Om anpassningarna inte räcker anmäls det till rektor, och då utreds behovet av särskilt stöd och åtgärdsprogram.</w:t>
      </w:r>
    </w:p>
    <w:p>
      <w:r>
        <w:t>Banken är inspirerad av och jämförd med två svenska samlingar som rekommenderas för fördjupning, Levla (Umeå kommun) och Tipsbanken (Gunilla Carlsson Kendall och David Edfelt, psykologdavid.se/tipsbanken). Urvalet har prövats mot aktuell forskning: EEF:s rapport om elever i behov av stöd i ordinarie undervisning, What Works Clearinghouse praktikguider, Skolverkets allmänna råd och metaanalyser om läsning, skrivning, matematik och beteende. Varje anpassning har fått en evidensnivå.</w:t>
      </w:r>
    </w:p>
    <w:p>
      <w:r>
        <w:t>Medvetet utelämnade, eftersom forskningen inte ger dem stöd: lärstilar, färgade overlays och linser, dyslexitypsnitt, viktvästar, sittbollar, sensoriska dieter, datoriserad arbetsminnesträning, Brain Gym och elevassistent som skugga utan struktur.</w:t>
      </w:r>
    </w:p>
    <w:p>
      <w:pPr>
        <w:pStyle w:val="Heading2"/>
      </w:pPr>
      <w:r>
        <w:t>Så används banken</w:t>
      </w:r>
    </w:p>
    <w:p>
      <w:pPr>
        <w:pStyle w:val="ListNumber"/>
      </w:pPr>
      <w:r>
        <w:t>Börja i undervisningen. Tydlig struktur, explicit undervisning och stöttning för hela gruppen gör att färre elever behöver individuella anpassningar.</w:t>
      </w:r>
    </w:p>
    <w:p>
      <w:pPr>
        <w:pStyle w:val="ListNumber"/>
      </w:pPr>
      <w:r>
        <w:t>Kartlägg först. Notera under en till två veckor när, var och vid vilka krav svårigheterna uppstår, och när det fungerar. Välj anpassning efter behovet, inte efter diagnos.</w:t>
      </w:r>
    </w:p>
    <w:p>
      <w:pPr>
        <w:pStyle w:val="ListNumber"/>
      </w:pPr>
      <w:r>
        <w:t>Välj två eller tre anpassningar, inte tio. Få anpassningar som genomförs konsekvent ger mer än många som glöms bort.</w:t>
      </w:r>
    </w:p>
    <w:p>
      <w:pPr>
        <w:pStyle w:val="ListNumber"/>
      </w:pPr>
      <w:r>
        <w:t>Kombinera stöd och träning. Kompensatoriska anpassningar som talsyntes och förlängd tid ger tillgång här och nu, men eleven behöver också färdighetsträning för att utvecklas.</w:t>
      </w:r>
    </w:p>
    <w:p>
      <w:pPr>
        <w:pStyle w:val="ListNumber"/>
      </w:pPr>
      <w:r>
        <w:t>Dokumentera med formuleringen som finns för varje anpassning, och skriv in datum för uppföljning.</w:t>
      </w:r>
    </w:p>
    <w:p>
      <w:pPr>
        <w:pStyle w:val="ListNumber"/>
      </w:pPr>
      <w:r>
        <w:t>Följ upp efter tre till sex veckor med uppföljningsfrågan. Behåll, justera eller byt.</w:t>
      </w:r>
    </w:p>
    <w:p>
      <w:pPr>
        <w:pStyle w:val="ListNumber"/>
      </w:pPr>
      <w:r>
        <w:t>Om eleven trots anpassningarna inte förväntas nå kunskapskraven ska rektor informeras. Då startar utredning om särskilt stöd.</w:t>
      </w:r>
    </w:p>
    <w:p>
      <w:pPr>
        <w:pStyle w:val="Heading2"/>
      </w:pPr>
      <w:r>
        <w:t>Evidensnivåer</w:t>
      </w:r>
    </w:p>
    <w:p>
      <w:pPr>
        <w:pStyle w:val="ListBullet"/>
      </w:pPr>
      <w:r>
        <w:rPr>
          <w:b/>
        </w:rPr>
        <w:t xml:space="preserve">Stark: </w:t>
      </w:r>
      <w:r>
        <w:t>Stöds av metaanalyser, flera randomiserade studier eller en praktikguide med högsta evidensgrad (WWC strong).</w:t>
      </w:r>
    </w:p>
    <w:p>
      <w:pPr>
        <w:pStyle w:val="ListBullet"/>
      </w:pPr>
      <w:r>
        <w:rPr>
          <w:b/>
        </w:rPr>
        <w:t xml:space="preserve">Måttlig: </w:t>
      </w:r>
      <w:r>
        <w:t>Stöds av systematiska översikter av mindre studier, single case-forskning eller enstaka randomiserade studier.</w:t>
      </w:r>
    </w:p>
    <w:p>
      <w:pPr>
        <w:pStyle w:val="ListBullet"/>
      </w:pPr>
      <w:r>
        <w:rPr>
          <w:b/>
        </w:rPr>
        <w:t xml:space="preserve">Beprövad: </w:t>
      </w:r>
      <w:r>
        <w:t>Bygger på professionell konsensus, myndighetsråd och lång erfarenhet, men saknar egen effektforskning. Följ upp extra noga.</w:t>
      </w:r>
    </w:p>
    <w:p>
      <w:pPr>
        <w:pStyle w:val="Heading2"/>
      </w:pPr>
      <w:r>
        <w:t>Innehåll</w:t>
      </w:r>
    </w:p>
    <w:p>
      <w:pPr>
        <w:pStyle w:val="ListBullet"/>
      </w:pPr>
      <w:r>
        <w:t>Uppmärksamhet och arbetsro (9)</w:t>
      </w:r>
    </w:p>
    <w:p>
      <w:pPr>
        <w:pStyle w:val="ListBullet"/>
      </w:pPr>
      <w:r>
        <w:t>Igångsättning och uthållighet (8)</w:t>
      </w:r>
    </w:p>
    <w:p>
      <w:pPr>
        <w:pStyle w:val="ListBullet"/>
      </w:pPr>
      <w:r>
        <w:t>Planering, tid och organisation (9)</w:t>
      </w:r>
    </w:p>
    <w:p>
      <w:pPr>
        <w:pStyle w:val="ListBullet"/>
      </w:pPr>
      <w:r>
        <w:t>Instruktioner, förståelse och minne (9)</w:t>
      </w:r>
    </w:p>
    <w:p>
      <w:pPr>
        <w:pStyle w:val="ListBullet"/>
      </w:pPr>
      <w:r>
        <w:t>Läsning (9)</w:t>
      </w:r>
    </w:p>
    <w:p>
      <w:pPr>
        <w:pStyle w:val="ListBullet"/>
      </w:pPr>
      <w:r>
        <w:t>Skrivning och stavning (8)</w:t>
      </w:r>
    </w:p>
    <w:p>
      <w:pPr>
        <w:pStyle w:val="ListBullet"/>
      </w:pPr>
      <w:r>
        <w:t>Matematik (9)</w:t>
      </w:r>
    </w:p>
    <w:p>
      <w:pPr>
        <w:pStyle w:val="ListBullet"/>
      </w:pPr>
      <w:r>
        <w:t>Språk och kommunikation (8)</w:t>
      </w:r>
    </w:p>
    <w:p>
      <w:pPr>
        <w:pStyle w:val="ListBullet"/>
      </w:pPr>
      <w:r>
        <w:t>Känsloreglering och beteende (10)</w:t>
      </w:r>
    </w:p>
    <w:p>
      <w:pPr>
        <w:pStyle w:val="ListBullet"/>
      </w:pPr>
      <w:r>
        <w:t>Socialt samspel och raster (7)</w:t>
      </w:r>
    </w:p>
    <w:p>
      <w:pPr>
        <w:pStyle w:val="ListBullet"/>
      </w:pPr>
      <w:r>
        <w:t>Närvaro, övergångar och trygghet (7)</w:t>
      </w:r>
    </w:p>
    <w:p>
      <w:pPr>
        <w:pStyle w:val="ListBullet"/>
      </w:pPr>
      <w:r>
        <w:t>Prov, bedömning och redovisning (7)</w:t>
      </w:r>
    </w:p>
    <w:p>
      <w:r>
        <w:br w:type="page"/>
      </w:r>
    </w:p>
    <w:p>
      <w:pPr>
        <w:pStyle w:val="Heading1"/>
      </w:pPr>
      <w:r>
        <w:rPr>
          <w:color w:val="2F5D8A"/>
        </w:rPr>
        <w:t>Uppmärksamhet och arbetsro</w:t>
      </w:r>
    </w:p>
    <w:p>
      <w:r>
        <w:rPr>
          <w:i/>
        </w:rPr>
        <w:t>För elever som lätt distraheras, tappar tråden under genomgångar eller har svårt att hålla fokus på uppgiften.</w:t>
      </w:r>
    </w:p>
    <w:tbl>
      <w:tblPr>
        <w:tblStyle w:val="TableGrid"/>
        <w:tblW w:type="auto" w:w="0"/>
        <w:jc w:val="center"/>
        <w:tblLook w:firstColumn="1" w:firstRow="1" w:lastColumn="0" w:lastRow="0" w:noHBand="0" w:noVBand="1" w:val="04A0"/>
      </w:tblPr>
      <w:tblGrid>
        <w:gridCol w:w="2523"/>
        <w:gridCol w:w="2523"/>
        <w:gridCol w:w="2523"/>
        <w:gridCol w:w="2523"/>
        <w:gridCol w:w="2523"/>
        <w:gridCol w:w="2523"/>
      </w:tblGrid>
      <w:tr>
        <w:trPr>
          <w:tblHeader w:val="true"/>
        </w:trPr>
        <w:tc>
          <w:tcPr>
            <w:tcW w:type="dxa" w:w="680"/>
            <w:shd w:val="clear" w:color="auto" w:fill="2F5D8A"/>
          </w:tcPr>
          <w:p>
            <w:r>
              <w:rPr>
                <w:b/>
                <w:color w:val="FFFFFF"/>
              </w:rPr>
              <w:t>Nr</w:t>
            </w:r>
          </w:p>
        </w:tc>
        <w:tc>
          <w:tcPr>
            <w:tcW w:type="dxa" w:w="2268"/>
            <w:shd w:val="clear" w:color="auto" w:fill="2F5D8A"/>
          </w:tcPr>
          <w:p>
            <w:r>
              <w:rPr>
                <w:b/>
                <w:color w:val="FFFFFF"/>
              </w:rPr>
              <w:t>Anpassning</w:t>
            </w:r>
          </w:p>
        </w:tc>
        <w:tc>
          <w:tcPr>
            <w:tcW w:type="dxa" w:w="4876"/>
            <w:shd w:val="clear" w:color="auto" w:fill="2F5D8A"/>
          </w:tcPr>
          <w:p>
            <w:r>
              <w:rPr>
                <w:b/>
                <w:color w:val="FFFFFF"/>
              </w:rPr>
              <w:t>Beskrivning</w:t>
            </w:r>
          </w:p>
        </w:tc>
        <w:tc>
          <w:tcPr>
            <w:tcW w:type="dxa" w:w="3175"/>
            <w:shd w:val="clear" w:color="auto" w:fill="2F5D8A"/>
          </w:tcPr>
          <w:p>
            <w:r>
              <w:rPr>
                <w:b/>
                <w:color w:val="FFFFFF"/>
              </w:rPr>
              <w:t>Formulering till dokumentation</w:t>
            </w:r>
          </w:p>
        </w:tc>
        <w:tc>
          <w:tcPr>
            <w:tcW w:type="dxa" w:w="2948"/>
            <w:shd w:val="clear" w:color="auto" w:fill="2F5D8A"/>
          </w:tcPr>
          <w:p>
            <w:r>
              <w:rPr>
                <w:b/>
                <w:color w:val="FFFFFF"/>
              </w:rPr>
              <w:t>Följ upp effekten</w:t>
            </w:r>
          </w:p>
        </w:tc>
        <w:tc>
          <w:tcPr>
            <w:tcW w:type="dxa" w:w="1191"/>
            <w:shd w:val="clear" w:color="auto" w:fill="2F5D8A"/>
          </w:tcPr>
          <w:p>
            <w:r>
              <w:rPr>
                <w:b/>
                <w:color w:val="FFFFFF"/>
              </w:rPr>
              <w:t>Stadium / evidens</w:t>
            </w:r>
          </w:p>
        </w:tc>
      </w:tr>
      <w:tr>
        <w:tc>
          <w:tcPr>
            <w:tcW w:type="dxa" w:w="680"/>
          </w:tcPr>
          <w:p>
            <w:r>
              <w:t>UK01</w:t>
            </w:r>
          </w:p>
        </w:tc>
        <w:tc>
          <w:tcPr>
            <w:tcW w:type="dxa" w:w="2268"/>
          </w:tcPr>
          <w:p>
            <w:r>
              <w:rPr>
                <w:b/>
              </w:rPr>
              <w:t>Genomtänkt placering</w:t>
            </w:r>
          </w:p>
        </w:tc>
        <w:tc>
          <w:tcPr>
            <w:tcW w:type="dxa" w:w="4876"/>
          </w:tcPr>
          <w:p>
            <w:r>
              <w:t>Eleven sitter på en bestämd plats där störningarna är få: nära läraren, bort från dörr, fönster och gångvägar, gärna bredvid en lugn kamrat. Platsen bestäms tillsammans med eleven och gäller i alla salar.</w:t>
            </w:r>
          </w:p>
          <w:p>
            <w:r>
              <w:rPr>
                <w:i/>
                <w:color w:val="666666"/>
                <w:sz w:val="15"/>
              </w:rPr>
              <w:t>Källa: Antecedentanpassning: Epstein m.fl. (WWC) 2008. Se även: Tipsbanken: Koncentration</w:t>
            </w:r>
          </w:p>
        </w:tc>
        <w:tc>
          <w:tcPr>
            <w:tcW w:type="dxa" w:w="3175"/>
          </w:tcPr>
          <w:p>
            <w:r>
              <w:t>Eleven har en fast placering nära läraren och bort från gångvägar i alla undervisningslokaler.</w:t>
            </w:r>
          </w:p>
        </w:tc>
        <w:tc>
          <w:tcPr>
            <w:tcW w:type="dxa" w:w="2948"/>
          </w:tcPr>
          <w:p>
            <w:r>
              <w:t>Räkna hur många gånger per lektion eleven behöver hjälp att återgå till uppgiften, två veckor före och två veckor efter ändringen.</w:t>
            </w:r>
          </w:p>
        </w:tc>
        <w:tc>
          <w:tcPr>
            <w:tcW w:type="dxa" w:w="1191"/>
          </w:tcPr>
          <w:p>
            <w:r>
              <w:t>F–9</w:t>
              <w:br/>
              <w:t>Stark</w:t>
            </w:r>
          </w:p>
        </w:tc>
      </w:tr>
      <w:tr>
        <w:tc>
          <w:tcPr>
            <w:tcW w:type="dxa" w:w="680"/>
          </w:tcPr>
          <w:p>
            <w:r>
              <w:t>UK02</w:t>
            </w:r>
          </w:p>
        </w:tc>
        <w:tc>
          <w:tcPr>
            <w:tcW w:type="dxa" w:w="2268"/>
          </w:tcPr>
          <w:p>
            <w:r>
              <w:rPr>
                <w:b/>
              </w:rPr>
              <w:t>Avskärmad arbetsplats</w:t>
            </w:r>
          </w:p>
        </w:tc>
        <w:tc>
          <w:tcPr>
            <w:tcW w:type="dxa" w:w="4876"/>
          </w:tcPr>
          <w:p>
            <w:r>
              <w:t>Eleven kan arbeta på en avskärmad plats, bakom skärm eller vikvägg eller i ett angränsande grupprum, vid självständigt arbete. Platsen är ett erbjudande och ett verktyg, aldrig en bestraffning.</w:t>
            </w:r>
          </w:p>
          <w:p>
            <w:r>
              <w:rPr>
                <w:i/>
                <w:color w:val="666666"/>
                <w:sz w:val="15"/>
              </w:rPr>
              <w:t>Källa: Epstein m.fl. (WWC) 2008, princip; SPSM 2026. Se även: Tipsbanken: Koncentration</w:t>
            </w:r>
          </w:p>
        </w:tc>
        <w:tc>
          <w:tcPr>
            <w:tcW w:type="dxa" w:w="3175"/>
          </w:tcPr>
          <w:p>
            <w:r>
              <w:t>Eleven erbjuds en avskärmad arbetsplats vid självständigt arbete.</w:t>
            </w:r>
          </w:p>
        </w:tc>
        <w:tc>
          <w:tcPr>
            <w:tcW w:type="dxa" w:w="2948"/>
          </w:tcPr>
          <w:p>
            <w:r>
              <w:t>Jämför under två veckor hur stor del av uppgifterna eleven blir klar med på den avskärmade platsen och på ordinarie plats.</w:t>
            </w:r>
          </w:p>
        </w:tc>
        <w:tc>
          <w:tcPr>
            <w:tcW w:type="dxa" w:w="1191"/>
          </w:tcPr>
          <w:p>
            <w:r>
              <w:t>F–9</w:t>
              <w:br/>
              <w:t>Beprövad</w:t>
            </w:r>
          </w:p>
        </w:tc>
      </w:tr>
      <w:tr>
        <w:tc>
          <w:tcPr>
            <w:tcW w:type="dxa" w:w="680"/>
          </w:tcPr>
          <w:p>
            <w:r>
              <w:t>UK03</w:t>
            </w:r>
          </w:p>
        </w:tc>
        <w:tc>
          <w:tcPr>
            <w:tcW w:type="dxa" w:w="2268"/>
          </w:tcPr>
          <w:p>
            <w:r>
              <w:rPr>
                <w:b/>
              </w:rPr>
              <w:t>Hörselkåpor vid eget arbete</w:t>
            </w:r>
          </w:p>
        </w:tc>
        <w:tc>
          <w:tcPr>
            <w:tcW w:type="dxa" w:w="4876"/>
          </w:tcPr>
          <w:p>
            <w:r>
              <w:t>Eleven använder hörselkåpor eller brusreducerande lurar vid självständigt arbete och prov. Erbjud gärna hela klassen samma möjlighet så att ingen pekas ut.</w:t>
            </w:r>
          </w:p>
          <w:p>
            <w:r>
              <w:rPr>
                <w:i/>
                <w:color w:val="666666"/>
                <w:sz w:val="15"/>
              </w:rPr>
              <w:t>Källa: SPSM 2026 (tillgänglig lärmiljö). Se även: Levla: Ljudmiljö; Tipsbanken: Koncentration</w:t>
            </w:r>
          </w:p>
        </w:tc>
        <w:tc>
          <w:tcPr>
            <w:tcW w:type="dxa" w:w="3175"/>
          </w:tcPr>
          <w:p>
            <w:r>
              <w:t>Eleven har tillgång till hörselkåpor vid självständigt arbete och prov.</w:t>
            </w:r>
          </w:p>
        </w:tc>
        <w:tc>
          <w:tcPr>
            <w:tcW w:type="dxa" w:w="2948"/>
          </w:tcPr>
          <w:p>
            <w:r>
              <w:t>Låt eleven varje fredag skatta arbetsron på en skala 1–5 och notera samtidigt hur mycket arbete som blivit klart.</w:t>
            </w:r>
          </w:p>
        </w:tc>
        <w:tc>
          <w:tcPr>
            <w:tcW w:type="dxa" w:w="1191"/>
          </w:tcPr>
          <w:p>
            <w:r>
              <w:t>F–9</w:t>
              <w:br/>
              <w:t>Beprövad</w:t>
            </w:r>
          </w:p>
        </w:tc>
      </w:tr>
      <w:tr>
        <w:tc>
          <w:tcPr>
            <w:tcW w:type="dxa" w:w="680"/>
          </w:tcPr>
          <w:p>
            <w:r>
              <w:t>UK04</w:t>
            </w:r>
          </w:p>
        </w:tc>
        <w:tc>
          <w:tcPr>
            <w:tcW w:type="dxa" w:w="2268"/>
          </w:tcPr>
          <w:p>
            <w:r>
              <w:rPr>
                <w:b/>
              </w:rPr>
              <w:t>Alla svarar</w:t>
            </w:r>
          </w:p>
        </w:tc>
        <w:tc>
          <w:tcPr>
            <w:tcW w:type="dxa" w:w="4876"/>
          </w:tcPr>
          <w:p>
            <w:r>
              <w:t>Under genomgången får eleven många korta tillfällen att svara: på miniwhiteboard, med tummen eller genom att prata med grannen. Eleven är aktiv i stället för att vänta, och läraren ser direkt om eleven hänger med.</w:t>
            </w:r>
          </w:p>
          <w:p>
            <w:r>
              <w:rPr>
                <w:i/>
                <w:color w:val="666666"/>
                <w:sz w:val="15"/>
              </w:rPr>
              <w:t>Källa: Rosenshine 2012, principerna 3 och 6</w:t>
            </w:r>
          </w:p>
        </w:tc>
        <w:tc>
          <w:tcPr>
            <w:tcW w:type="dxa" w:w="3175"/>
          </w:tcPr>
          <w:p>
            <w:r>
              <w:t>Eleven ges täta tillfällen att aktivt svara under genomgångar, till exempel på miniwhiteboard.</w:t>
            </w:r>
          </w:p>
        </w:tc>
        <w:tc>
          <w:tcPr>
            <w:tcW w:type="dxa" w:w="2948"/>
          </w:tcPr>
          <w:p>
            <w:r>
              <w:t>Notera under tre lektioner hur ofta eleven svarar och hur stor andel av svaren som är rätt.</w:t>
            </w:r>
          </w:p>
        </w:tc>
        <w:tc>
          <w:tcPr>
            <w:tcW w:type="dxa" w:w="1191"/>
          </w:tcPr>
          <w:p>
            <w:r>
              <w:t>F–9</w:t>
              <w:br/>
              <w:t>Måttlig</w:t>
            </w:r>
          </w:p>
        </w:tc>
      </w:tr>
      <w:tr>
        <w:tc>
          <w:tcPr>
            <w:tcW w:type="dxa" w:w="680"/>
          </w:tcPr>
          <w:p>
            <w:r>
              <w:t>UK05</w:t>
            </w:r>
          </w:p>
        </w:tc>
        <w:tc>
          <w:tcPr>
            <w:tcW w:type="dxa" w:w="2268"/>
          </w:tcPr>
          <w:p>
            <w:r>
              <w:rPr>
                <w:b/>
              </w:rPr>
              <w:t>Överenskommet tecken</w:t>
            </w:r>
          </w:p>
        </w:tc>
        <w:tc>
          <w:tcPr>
            <w:tcW w:type="dxa" w:w="4876"/>
          </w:tcPr>
          <w:p>
            <w:r>
              <w:t>Läraren och eleven kommer överens om en diskret signal, till exempel en hand på bänken eller ett kort, som betyder ”tillbaka till uppgiften”. Signalen ersätter tillsägelser inför klassen och skyddar relationen.</w:t>
            </w:r>
          </w:p>
          <w:p>
            <w:r>
              <w:rPr>
                <w:i/>
                <w:color w:val="666666"/>
                <w:sz w:val="15"/>
              </w:rPr>
              <w:t>Källa: Tipsbanken (pedagogers erfarenhet); Epstein m.fl. (WWC) 2008, princip. Se även: Tipsbanken: Koncentration, Tiden</w:t>
            </w:r>
          </w:p>
        </w:tc>
        <w:tc>
          <w:tcPr>
            <w:tcW w:type="dxa" w:w="3175"/>
          </w:tcPr>
          <w:p>
            <w:r>
              <w:t>Lärare och elev använder ett överenskommet tecken i stället för muntliga tillsägelser.</w:t>
            </w:r>
          </w:p>
        </w:tc>
        <w:tc>
          <w:tcPr>
            <w:tcW w:type="dxa" w:w="2948"/>
          </w:tcPr>
          <w:p>
            <w:r>
              <w:t>Räkna antalet muntliga tillsägelser per lektion före och efter att tecknet införts.</w:t>
            </w:r>
          </w:p>
        </w:tc>
        <w:tc>
          <w:tcPr>
            <w:tcW w:type="dxa" w:w="1191"/>
          </w:tcPr>
          <w:p>
            <w:r>
              <w:t>F–9</w:t>
              <w:br/>
              <w:t>Beprövad</w:t>
            </w:r>
          </w:p>
        </w:tc>
      </w:tr>
      <w:tr>
        <w:tc>
          <w:tcPr>
            <w:tcW w:type="dxa" w:w="680"/>
          </w:tcPr>
          <w:p>
            <w:r>
              <w:t>UK06</w:t>
            </w:r>
          </w:p>
        </w:tc>
        <w:tc>
          <w:tcPr>
            <w:tcW w:type="dxa" w:w="2268"/>
          </w:tcPr>
          <w:p>
            <w:r>
              <w:rPr>
                <w:b/>
              </w:rPr>
              <w:t>Självskattning av fokus</w:t>
            </w:r>
          </w:p>
        </w:tc>
        <w:tc>
          <w:tcPr>
            <w:tcW w:type="dxa" w:w="4876"/>
          </w:tcPr>
          <w:p>
            <w:r>
              <w:t>Eleven markerar själv med jämna mellanrum, till exempel vid en tyst signal var femte minut, om hen arbetar med uppgiften. Läraren stämmer av markeringarna efter passet och berömmer när elevens bild stämmer med lärarens.</w:t>
            </w:r>
          </w:p>
          <w:p>
            <w:r>
              <w:rPr>
                <w:i/>
                <w:color w:val="666666"/>
                <w:sz w:val="15"/>
              </w:rPr>
              <w:t>Källa: Gaastra m.fl. 2016 (metaanalys, självreglering). Se även: Levla: Självkontroll</w:t>
            </w:r>
          </w:p>
        </w:tc>
        <w:tc>
          <w:tcPr>
            <w:tcW w:type="dxa" w:w="3175"/>
          </w:tcPr>
          <w:p>
            <w:r>
              <w:t>Eleven använder ett självskattningsschema för arbetsfokus som stäms av med läraren efter passet.</w:t>
            </w:r>
          </w:p>
        </w:tc>
        <w:tc>
          <w:tcPr>
            <w:tcW w:type="dxa" w:w="2948"/>
          </w:tcPr>
          <w:p>
            <w:r>
              <w:t>Jämför elevens och lärarens skattning. Målet är att andelen markeringar för ”arbetar” ökar och att skattningarna stämmer överens.</w:t>
            </w:r>
          </w:p>
        </w:tc>
        <w:tc>
          <w:tcPr>
            <w:tcW w:type="dxa" w:w="1191"/>
          </w:tcPr>
          <w:p>
            <w:r>
              <w:t>4–6, 7–9</w:t>
              <w:br/>
              <w:t>Måttlig</w:t>
            </w:r>
          </w:p>
        </w:tc>
      </w:tr>
      <w:tr>
        <w:tc>
          <w:tcPr>
            <w:tcW w:type="dxa" w:w="680"/>
          </w:tcPr>
          <w:p>
            <w:r>
              <w:t>UK07</w:t>
            </w:r>
          </w:p>
        </w:tc>
        <w:tc>
          <w:tcPr>
            <w:tcW w:type="dxa" w:w="2268"/>
          </w:tcPr>
          <w:p>
            <w:r>
              <w:rPr>
                <w:b/>
              </w:rPr>
              <w:t>Rensad bänk</w:t>
            </w:r>
          </w:p>
        </w:tc>
        <w:tc>
          <w:tcPr>
            <w:tcW w:type="dxa" w:w="4876"/>
          </w:tcPr>
          <w:p>
            <w:r>
              <w:t>Bara det material som behövs för uppgiften ligger framme. Allt annat ligger i en låda eller korg, och läraren hjälper eleven att ta fram rätt material när passet börjar.</w:t>
            </w:r>
          </w:p>
          <w:p>
            <w:r>
              <w:rPr>
                <w:i/>
                <w:color w:val="666666"/>
                <w:sz w:val="15"/>
              </w:rPr>
              <w:t>Källa: Antecedentanpassning: Epstein m.fl. (WWC) 2008. Se även: Tipsbanken: Koncentration, Saker</w:t>
            </w:r>
          </w:p>
        </w:tc>
        <w:tc>
          <w:tcPr>
            <w:tcW w:type="dxa" w:w="3175"/>
          </w:tcPr>
          <w:p>
            <w:r>
              <w:t>Eleven har endast det material som behövs för aktuell uppgift framme, med vuxenstöd vid passets start.</w:t>
            </w:r>
          </w:p>
        </w:tc>
        <w:tc>
          <w:tcPr>
            <w:tcW w:type="dxa" w:w="2948"/>
          </w:tcPr>
          <w:p>
            <w:r>
              <w:t>Mät hur många minuter det tar innan eleven kommer igång, före och efter ändringen.</w:t>
            </w:r>
          </w:p>
        </w:tc>
        <w:tc>
          <w:tcPr>
            <w:tcW w:type="dxa" w:w="1191"/>
          </w:tcPr>
          <w:p>
            <w:r>
              <w:t>F–3, 4–6</w:t>
              <w:br/>
              <w:t>Beprövad</w:t>
            </w:r>
          </w:p>
        </w:tc>
      </w:tr>
      <w:tr>
        <w:tc>
          <w:tcPr>
            <w:tcW w:type="dxa" w:w="680"/>
          </w:tcPr>
          <w:p>
            <w:r>
              <w:t>UK08</w:t>
            </w:r>
          </w:p>
        </w:tc>
        <w:tc>
          <w:tcPr>
            <w:tcW w:type="dxa" w:w="2268"/>
          </w:tcPr>
          <w:p>
            <w:r>
              <w:rPr>
                <w:b/>
              </w:rPr>
              <w:t>Planerad rörelsepaus</w:t>
            </w:r>
          </w:p>
        </w:tc>
        <w:tc>
          <w:tcPr>
            <w:tcW w:type="dxa" w:w="4876"/>
          </w:tcPr>
          <w:p>
            <w:r>
              <w:t>Under längre arbetspass får eleven en kort planerad rörelsepaus på 1–3 minuter, till exempel att hämta material, gå ett ärende eller göra en övning. Pausen ligger på en bestämd tid och kommer inte först när oron syns.</w:t>
            </w:r>
          </w:p>
          <w:p>
            <w:r>
              <w:rPr>
                <w:i/>
                <w:color w:val="666666"/>
                <w:sz w:val="15"/>
              </w:rPr>
              <w:t>Källa: Watson m.fl. 2017; Daly-Smith m.fl. 2018. Se även: Levla: Stöd vid motorisk oro; Tipsbanken: Koncentration</w:t>
            </w:r>
          </w:p>
        </w:tc>
        <w:tc>
          <w:tcPr>
            <w:tcW w:type="dxa" w:w="3175"/>
          </w:tcPr>
          <w:p>
            <w:r>
              <w:t>Eleven har planerade korta rörelsepauser under längre arbetspass.</w:t>
            </w:r>
          </w:p>
        </w:tc>
        <w:tc>
          <w:tcPr>
            <w:tcW w:type="dxa" w:w="2948"/>
          </w:tcPr>
          <w:p>
            <w:r>
              <w:t>Observera i tio minuter efter pausen och jämför andelen tid eleven ägnar åt uppgiften med ett pass utan paus.</w:t>
            </w:r>
          </w:p>
        </w:tc>
        <w:tc>
          <w:tcPr>
            <w:tcW w:type="dxa" w:w="1191"/>
          </w:tcPr>
          <w:p>
            <w:r>
              <w:t>F–9</w:t>
              <w:br/>
              <w:t>Måttlig</w:t>
            </w:r>
          </w:p>
        </w:tc>
      </w:tr>
      <w:tr>
        <w:tc>
          <w:tcPr>
            <w:tcW w:type="dxa" w:w="680"/>
          </w:tcPr>
          <w:p>
            <w:r>
              <w:t>UK09</w:t>
            </w:r>
          </w:p>
        </w:tc>
        <w:tc>
          <w:tcPr>
            <w:tcW w:type="dxa" w:w="2268"/>
          </w:tcPr>
          <w:p>
            <w:r>
              <w:rPr>
                <w:b/>
              </w:rPr>
              <w:t>Tyst föremål att hålla i</w:t>
            </w:r>
          </w:p>
        </w:tc>
        <w:tc>
          <w:tcPr>
            <w:tcW w:type="dxa" w:w="4876"/>
          </w:tcPr>
          <w:p>
            <w:r>
              <w:t>Eleven får hålla i ett tyst föremål, till exempel en taktil boll eller lera, under muntliga genomgångar. Pröva under en begränsad period, eftersom forskning visar att vissa föremål, som fidget spinners, försämrar uppmärksamheten.</w:t>
            </w:r>
          </w:p>
          <w:p>
            <w:r>
              <w:rPr>
                <w:i/>
                <w:color w:val="666666"/>
                <w:sz w:val="15"/>
              </w:rPr>
              <w:t>Källa: Graziano m.fl. 2020 (varning för fidget spinners). Se även: Tipsbanken: Koncentration; Levla: Stöd vid motorisk oro</w:t>
            </w:r>
          </w:p>
        </w:tc>
        <w:tc>
          <w:tcPr>
            <w:tcW w:type="dxa" w:w="3175"/>
          </w:tcPr>
          <w:p>
            <w:r>
              <w:t>Eleven prövar ett tyst föremål att hålla i under genomgångar, med utvärdering efter tre veckor.</w:t>
            </w:r>
          </w:p>
        </w:tc>
        <w:tc>
          <w:tcPr>
            <w:tcW w:type="dxa" w:w="2948"/>
          </w:tcPr>
          <w:p>
            <w:r>
              <w:t>Avsluta om eleven tittar mer på föremålet än på läraren, eller om arbetsinsatsen inte blir bättre.</w:t>
            </w:r>
          </w:p>
        </w:tc>
        <w:tc>
          <w:tcPr>
            <w:tcW w:type="dxa" w:w="1191"/>
          </w:tcPr>
          <w:p>
            <w:r>
              <w:t>F–9</w:t>
              <w:br/>
              <w:t>Beprövad</w:t>
            </w:r>
          </w:p>
        </w:tc>
      </w:tr>
    </w:tbl>
    <w:p>
      <w:r>
        <w:br w:type="page"/>
      </w:r>
    </w:p>
    <w:p>
      <w:pPr>
        <w:pStyle w:val="Heading1"/>
      </w:pPr>
      <w:r>
        <w:rPr>
          <w:color w:val="6D4AA8"/>
        </w:rPr>
        <w:t>Igångsättning och uthållighet</w:t>
      </w:r>
    </w:p>
    <w:p>
      <w:r>
        <w:rPr>
          <w:i/>
        </w:rPr>
        <w:t>För elever som har svårt att komma igång, ger upp när det blir svårt eller sällan blir klara.</w:t>
      </w:r>
    </w:p>
    <w:tbl>
      <w:tblPr>
        <w:tblStyle w:val="TableGrid"/>
        <w:tblW w:type="auto" w:w="0"/>
        <w:jc w:val="center"/>
        <w:tblLook w:firstColumn="1" w:firstRow="1" w:lastColumn="0" w:lastRow="0" w:noHBand="0" w:noVBand="1" w:val="04A0"/>
      </w:tblPr>
      <w:tblGrid>
        <w:gridCol w:w="2523"/>
        <w:gridCol w:w="2523"/>
        <w:gridCol w:w="2523"/>
        <w:gridCol w:w="2523"/>
        <w:gridCol w:w="2523"/>
        <w:gridCol w:w="2523"/>
      </w:tblGrid>
      <w:tr>
        <w:trPr>
          <w:tblHeader w:val="true"/>
        </w:trPr>
        <w:tc>
          <w:tcPr>
            <w:tcW w:type="dxa" w:w="680"/>
            <w:shd w:val="clear" w:color="auto" w:fill="6D4AA8"/>
          </w:tcPr>
          <w:p>
            <w:r>
              <w:rPr>
                <w:b/>
                <w:color w:val="FFFFFF"/>
              </w:rPr>
              <w:t>Nr</w:t>
            </w:r>
          </w:p>
        </w:tc>
        <w:tc>
          <w:tcPr>
            <w:tcW w:type="dxa" w:w="2268"/>
            <w:shd w:val="clear" w:color="auto" w:fill="6D4AA8"/>
          </w:tcPr>
          <w:p>
            <w:r>
              <w:rPr>
                <w:b/>
                <w:color w:val="FFFFFF"/>
              </w:rPr>
              <w:t>Anpassning</w:t>
            </w:r>
          </w:p>
        </w:tc>
        <w:tc>
          <w:tcPr>
            <w:tcW w:type="dxa" w:w="4876"/>
            <w:shd w:val="clear" w:color="auto" w:fill="6D4AA8"/>
          </w:tcPr>
          <w:p>
            <w:r>
              <w:rPr>
                <w:b/>
                <w:color w:val="FFFFFF"/>
              </w:rPr>
              <w:t>Beskrivning</w:t>
            </w:r>
          </w:p>
        </w:tc>
        <w:tc>
          <w:tcPr>
            <w:tcW w:type="dxa" w:w="3175"/>
            <w:shd w:val="clear" w:color="auto" w:fill="6D4AA8"/>
          </w:tcPr>
          <w:p>
            <w:r>
              <w:rPr>
                <w:b/>
                <w:color w:val="FFFFFF"/>
              </w:rPr>
              <w:t>Formulering till dokumentation</w:t>
            </w:r>
          </w:p>
        </w:tc>
        <w:tc>
          <w:tcPr>
            <w:tcW w:type="dxa" w:w="2948"/>
            <w:shd w:val="clear" w:color="auto" w:fill="6D4AA8"/>
          </w:tcPr>
          <w:p>
            <w:r>
              <w:rPr>
                <w:b/>
                <w:color w:val="FFFFFF"/>
              </w:rPr>
              <w:t>Följ upp effekten</w:t>
            </w:r>
          </w:p>
        </w:tc>
        <w:tc>
          <w:tcPr>
            <w:tcW w:type="dxa" w:w="1191"/>
            <w:shd w:val="clear" w:color="auto" w:fill="6D4AA8"/>
          </w:tcPr>
          <w:p>
            <w:r>
              <w:rPr>
                <w:b/>
                <w:color w:val="FFFFFF"/>
              </w:rPr>
              <w:t>Stadium / evidens</w:t>
            </w:r>
          </w:p>
        </w:tc>
      </w:tr>
      <w:tr>
        <w:tc>
          <w:tcPr>
            <w:tcW w:type="dxa" w:w="680"/>
          </w:tcPr>
          <w:p>
            <w:r>
              <w:t>IG01</w:t>
            </w:r>
          </w:p>
        </w:tc>
        <w:tc>
          <w:tcPr>
            <w:tcW w:type="dxa" w:w="2268"/>
          </w:tcPr>
          <w:p>
            <w:r>
              <w:rPr>
                <w:b/>
              </w:rPr>
              <w:t>Startstöd vid bänken</w:t>
            </w:r>
          </w:p>
        </w:tc>
        <w:tc>
          <w:tcPr>
            <w:tcW w:type="dxa" w:w="4876"/>
          </w:tcPr>
          <w:p>
            <w:r>
              <w:t>Direkt efter genomgången går läraren till eleven och gör första steget tillsammans med hen, eller pekar ut exakt var eleven ska börja. Läraren går vidare först när eleven har kommit igång.</w:t>
            </w:r>
          </w:p>
          <w:p>
            <w:r>
              <w:rPr>
                <w:i/>
                <w:color w:val="666666"/>
                <w:sz w:val="15"/>
              </w:rPr>
              <w:t>Källa: Prop. 2013/14:160 (exempel på extra anpassning)</w:t>
            </w:r>
          </w:p>
        </w:tc>
        <w:tc>
          <w:tcPr>
            <w:tcW w:type="dxa" w:w="3175"/>
          </w:tcPr>
          <w:p>
            <w:r>
              <w:t>Eleven får startstöd av läraren direkt efter genomgången.</w:t>
            </w:r>
          </w:p>
        </w:tc>
        <w:tc>
          <w:tcPr>
            <w:tcW w:type="dxa" w:w="2948"/>
          </w:tcPr>
          <w:p>
            <w:r>
              <w:t>Mät tiden från genomgångens slut tills eleven har påbörjat uppgiften, under fem lektioner.</w:t>
            </w:r>
          </w:p>
        </w:tc>
        <w:tc>
          <w:tcPr>
            <w:tcW w:type="dxa" w:w="1191"/>
          </w:tcPr>
          <w:p>
            <w:r>
              <w:t>F–9</w:t>
              <w:br/>
              <w:t>Beprövad</w:t>
            </w:r>
          </w:p>
        </w:tc>
      </w:tr>
      <w:tr>
        <w:tc>
          <w:tcPr>
            <w:tcW w:type="dxa" w:w="680"/>
          </w:tcPr>
          <w:p>
            <w:r>
              <w:t>IG02</w:t>
            </w:r>
          </w:p>
        </w:tc>
        <w:tc>
          <w:tcPr>
            <w:tcW w:type="dxa" w:w="2268"/>
          </w:tcPr>
          <w:p>
            <w:r>
              <w:rPr>
                <w:b/>
              </w:rPr>
              <w:t>Checklista med delsteg</w:t>
            </w:r>
          </w:p>
        </w:tc>
        <w:tc>
          <w:tcPr>
            <w:tcW w:type="dxa" w:w="4876"/>
          </w:tcPr>
          <w:p>
            <w:r>
              <w:t>Uppgiften delas upp i numrerade delsteg som eleven bockar av. Varje steg ska vara så litet att eleven klarar det utan hjälp. För yngre elever kan stegen visas med bilder.</w:t>
            </w:r>
          </w:p>
          <w:p>
            <w:r>
              <w:rPr>
                <w:i/>
                <w:color w:val="666666"/>
                <w:sz w:val="15"/>
              </w:rPr>
              <w:t>Källa: Steinbrenner m.fl. 2020 (uppgiftsanalys); Rosenshine 2012. Se även: Levla: Instruktioner steg för steg; Tipsbanken: Självständigt arbete</w:t>
            </w:r>
          </w:p>
        </w:tc>
        <w:tc>
          <w:tcPr>
            <w:tcW w:type="dxa" w:w="3175"/>
          </w:tcPr>
          <w:p>
            <w:r>
              <w:t>Eleven får uppgifter uppdelade i delsteg på en checklista att bocka av.</w:t>
            </w:r>
          </w:p>
        </w:tc>
        <w:tc>
          <w:tcPr>
            <w:tcW w:type="dxa" w:w="2948"/>
          </w:tcPr>
          <w:p>
            <w:r>
              <w:t>Jämför antalet slutförda uppgifter per vecka med och utan checklista.</w:t>
            </w:r>
          </w:p>
        </w:tc>
        <w:tc>
          <w:tcPr>
            <w:tcW w:type="dxa" w:w="1191"/>
          </w:tcPr>
          <w:p>
            <w:r>
              <w:t>F–9</w:t>
              <w:br/>
              <w:t>Måttlig</w:t>
            </w:r>
          </w:p>
        </w:tc>
      </w:tr>
      <w:tr>
        <w:tc>
          <w:tcPr>
            <w:tcW w:type="dxa" w:w="680"/>
          </w:tcPr>
          <w:p>
            <w:r>
              <w:t>IG03</w:t>
            </w:r>
          </w:p>
        </w:tc>
        <w:tc>
          <w:tcPr>
            <w:tcW w:type="dxa" w:w="2268"/>
          </w:tcPr>
          <w:p>
            <w:r>
              <w:rPr>
                <w:b/>
              </w:rPr>
              <w:t>Korta pass som växer</w:t>
            </w:r>
          </w:p>
        </w:tc>
        <w:tc>
          <w:tcPr>
            <w:tcW w:type="dxa" w:w="4876"/>
          </w:tcPr>
          <w:p>
            <w:r>
              <w:t>Eleven arbetar i korta pass på 5–15 minuter med tydligt slut och en kort paus innan nästa pass. När eleven klarar passen förlängs de stegvis.</w:t>
            </w:r>
          </w:p>
          <w:p>
            <w:r>
              <w:rPr>
                <w:i/>
                <w:color w:val="666666"/>
                <w:sz w:val="15"/>
              </w:rPr>
              <w:t>Källa: Epstein m.fl. (WWC) 2008, princip. Se även: Tipsbanken: Koncentration</w:t>
            </w:r>
          </w:p>
        </w:tc>
        <w:tc>
          <w:tcPr>
            <w:tcW w:type="dxa" w:w="3175"/>
          </w:tcPr>
          <w:p>
            <w:r>
              <w:t>Eleven arbetar i korta tidsatta pass som successivt förlängs.</w:t>
            </w:r>
          </w:p>
        </w:tc>
        <w:tc>
          <w:tcPr>
            <w:tcW w:type="dxa" w:w="2948"/>
          </w:tcPr>
          <w:p>
            <w:r>
              <w:t>Notera hur långa pass eleven klarar. Förläng passen när eleven klarat nuvarande längd tre dagar i rad.</w:t>
            </w:r>
          </w:p>
        </w:tc>
        <w:tc>
          <w:tcPr>
            <w:tcW w:type="dxa" w:w="1191"/>
          </w:tcPr>
          <w:p>
            <w:r>
              <w:t>F–9</w:t>
              <w:br/>
              <w:t>Beprövad</w:t>
            </w:r>
          </w:p>
        </w:tc>
      </w:tr>
      <w:tr>
        <w:tc>
          <w:tcPr>
            <w:tcW w:type="dxa" w:w="680"/>
          </w:tcPr>
          <w:p>
            <w:r>
              <w:t>IG04</w:t>
            </w:r>
          </w:p>
        </w:tc>
        <w:tc>
          <w:tcPr>
            <w:tcW w:type="dxa" w:w="2268"/>
          </w:tcPr>
          <w:p>
            <w:r>
              <w:rPr>
                <w:b/>
              </w:rPr>
              <w:t>Färre uppgifter, samma mål</w:t>
            </w:r>
          </w:p>
        </w:tc>
        <w:tc>
          <w:tcPr>
            <w:tcW w:type="dxa" w:w="4876"/>
          </w:tcPr>
          <w:p>
            <w:r>
              <w:t>Eleven gör färre uppgifter, till exempel varannan eller de markerade, men arbetar mot samma kunskapsmål som klassen. Det som tas bort är upprepningar, inte innehåll.</w:t>
            </w:r>
          </w:p>
          <w:p>
            <w:r>
              <w:rPr>
                <w:i/>
                <w:color w:val="666666"/>
                <w:sz w:val="15"/>
              </w:rPr>
              <w:t>Källa: Skolverket SKOLFS 2022:334; Rosenshine 2012</w:t>
            </w:r>
          </w:p>
        </w:tc>
        <w:tc>
          <w:tcPr>
            <w:tcW w:type="dxa" w:w="3175"/>
          </w:tcPr>
          <w:p>
            <w:r>
              <w:t>Eleven får ett reducerat antal uppgifter med bibehållna kunskapsmål.</w:t>
            </w:r>
          </w:p>
        </w:tc>
        <w:tc>
          <w:tcPr>
            <w:tcW w:type="dxa" w:w="2948"/>
          </w:tcPr>
          <w:p>
            <w:r>
              <w:t>Kontrollera med en kort exit ticket att eleven når lektionens mål trots att uppgifterna är färre.</w:t>
            </w:r>
          </w:p>
        </w:tc>
        <w:tc>
          <w:tcPr>
            <w:tcW w:type="dxa" w:w="1191"/>
          </w:tcPr>
          <w:p>
            <w:r>
              <w:t>F–9</w:t>
              <w:br/>
              <w:t>Beprövad</w:t>
            </w:r>
          </w:p>
        </w:tc>
      </w:tr>
      <w:tr>
        <w:tc>
          <w:tcPr>
            <w:tcW w:type="dxa" w:w="680"/>
          </w:tcPr>
          <w:p>
            <w:r>
              <w:t>IG05</w:t>
            </w:r>
          </w:p>
        </w:tc>
        <w:tc>
          <w:tcPr>
            <w:tcW w:type="dxa" w:w="2268"/>
          </w:tcPr>
          <w:p>
            <w:r>
              <w:rPr>
                <w:b/>
              </w:rPr>
              <w:t>När jag är klar-kort</w:t>
            </w:r>
          </w:p>
        </w:tc>
        <w:tc>
          <w:tcPr>
            <w:tcW w:type="dxa" w:w="4876"/>
          </w:tcPr>
          <w:p>
            <w:r>
              <w:t>Eleven har ett kort på bänken med två eller tre saker att göra när uppgiften är klar, så att väntan inte blir tom tid. Alternativen är kända och kräver ingen ny instruktion.</w:t>
            </w:r>
          </w:p>
          <w:p>
            <w:r>
              <w:rPr>
                <w:i/>
                <w:color w:val="666666"/>
                <w:sz w:val="15"/>
              </w:rPr>
              <w:t>Källa: Tipsbanken (pedagogers erfarenhet). Se även: Tipsbanken: Koncentration</w:t>
            </w:r>
          </w:p>
        </w:tc>
        <w:tc>
          <w:tcPr>
            <w:tcW w:type="dxa" w:w="3175"/>
          </w:tcPr>
          <w:p>
            <w:r>
              <w:t>Eleven har ett kort med förutbestämda aktiviteter för när uppgiften är klar.</w:t>
            </w:r>
          </w:p>
        </w:tc>
        <w:tc>
          <w:tcPr>
            <w:tcW w:type="dxa" w:w="2948"/>
          </w:tcPr>
          <w:p>
            <w:r>
              <w:t>Räkna hur många gånger eleven lämnar sin plats eller stör andra efter att ha blivit klar, före och efter.</w:t>
            </w:r>
          </w:p>
        </w:tc>
        <w:tc>
          <w:tcPr>
            <w:tcW w:type="dxa" w:w="1191"/>
          </w:tcPr>
          <w:p>
            <w:r>
              <w:t>F–3, 4–6</w:t>
              <w:br/>
              <w:t>Beprövad</w:t>
            </w:r>
          </w:p>
        </w:tc>
      </w:tr>
      <w:tr>
        <w:tc>
          <w:tcPr>
            <w:tcW w:type="dxa" w:w="680"/>
          </w:tcPr>
          <w:p>
            <w:r>
              <w:t>IG06</w:t>
            </w:r>
          </w:p>
        </w:tc>
        <w:tc>
          <w:tcPr>
            <w:tcW w:type="dxa" w:w="2268"/>
          </w:tcPr>
          <w:p>
            <w:r>
              <w:rPr>
                <w:b/>
              </w:rPr>
              <w:t>Hjälpkort och uppgift under väntan</w:t>
            </w:r>
          </w:p>
        </w:tc>
        <w:tc>
          <w:tcPr>
            <w:tcW w:type="dxa" w:w="4876"/>
          </w:tcPr>
          <w:p>
            <w:r>
              <w:t>Eleven lägger ett kort på bänken när hen behöver hjälp, i stället för att räcka upp handen. Under tiden finns en bestämd uppgift att arbeta med, så att väntan inte stoppar arbetet.</w:t>
            </w:r>
          </w:p>
          <w:p>
            <w:r>
              <w:rPr>
                <w:i/>
                <w:color w:val="666666"/>
                <w:sz w:val="15"/>
              </w:rPr>
              <w:t>Källa: Beprövad praxis. Se även: Tipsbanken: Självständigt arbete</w:t>
            </w:r>
          </w:p>
        </w:tc>
        <w:tc>
          <w:tcPr>
            <w:tcW w:type="dxa" w:w="3175"/>
          </w:tcPr>
          <w:p>
            <w:r>
              <w:t>Eleven använder hjälpkort och har en förutbestämd uppgift att arbeta med i väntan på hjälp.</w:t>
            </w:r>
          </w:p>
        </w:tc>
        <w:tc>
          <w:tcPr>
            <w:tcW w:type="dxa" w:w="2948"/>
          </w:tcPr>
          <w:p>
            <w:r>
              <w:t>Notera om eleven arbetar vidare medan kortet ligger ute och hur lång väntetiden blir.</w:t>
            </w:r>
          </w:p>
        </w:tc>
        <w:tc>
          <w:tcPr>
            <w:tcW w:type="dxa" w:w="1191"/>
          </w:tcPr>
          <w:p>
            <w:r>
              <w:t>F–9</w:t>
              <w:br/>
              <w:t>Beprövad</w:t>
            </w:r>
          </w:p>
        </w:tc>
      </w:tr>
      <w:tr>
        <w:tc>
          <w:tcPr>
            <w:tcW w:type="dxa" w:w="680"/>
          </w:tcPr>
          <w:p>
            <w:r>
              <w:t>IG07</w:t>
            </w:r>
          </w:p>
        </w:tc>
        <w:tc>
          <w:tcPr>
            <w:tcW w:type="dxa" w:w="2268"/>
          </w:tcPr>
          <w:p>
            <w:r>
              <w:rPr>
                <w:b/>
              </w:rPr>
              <w:t>Lyckas först</w:t>
            </w:r>
          </w:p>
        </w:tc>
        <w:tc>
          <w:tcPr>
            <w:tcW w:type="dxa" w:w="4876"/>
          </w:tcPr>
          <w:p>
            <w:r>
              <w:t>Eleven börjar med några uppgifter som hen säkert klarar och går sedan vidare till svårare. Innan eleven arbetar själv kontrollerar läraren i den gemensamma övningen att eleven svarar rätt på de flesta frågorna.</w:t>
            </w:r>
          </w:p>
          <w:p>
            <w:r>
              <w:rPr>
                <w:i/>
                <w:color w:val="666666"/>
                <w:sz w:val="15"/>
              </w:rPr>
              <w:t>Källa: Rosenshine 2012 (hög lyckandegrad)</w:t>
            </w:r>
          </w:p>
        </w:tc>
        <w:tc>
          <w:tcPr>
            <w:tcW w:type="dxa" w:w="3175"/>
          </w:tcPr>
          <w:p>
            <w:r>
              <w:t>Eleven börjar med uppgifter på säker nivå och går vidare till svårare när de flesta svar är rätt.</w:t>
            </w:r>
          </w:p>
        </w:tc>
        <w:tc>
          <w:tcPr>
            <w:tcW w:type="dxa" w:w="2948"/>
          </w:tcPr>
          <w:p>
            <w:r>
              <w:t>Följ andelen rätt svar på de första uppgifterna. Sikta på att ungefär fyra av fem är rätt.</w:t>
            </w:r>
          </w:p>
        </w:tc>
        <w:tc>
          <w:tcPr>
            <w:tcW w:type="dxa" w:w="1191"/>
          </w:tcPr>
          <w:p>
            <w:r>
              <w:t>F–9</w:t>
              <w:br/>
              <w:t>Beprövad</w:t>
            </w:r>
          </w:p>
        </w:tc>
      </w:tr>
      <w:tr>
        <w:tc>
          <w:tcPr>
            <w:tcW w:type="dxa" w:w="680"/>
          </w:tcPr>
          <w:p>
            <w:r>
              <w:t>IG08</w:t>
            </w:r>
          </w:p>
        </w:tc>
        <w:tc>
          <w:tcPr>
            <w:tcW w:type="dxa" w:w="2268"/>
          </w:tcPr>
          <w:p>
            <w:r>
              <w:rPr>
                <w:b/>
              </w:rPr>
              <w:t>Val inom ramen</w:t>
            </w:r>
          </w:p>
        </w:tc>
        <w:tc>
          <w:tcPr>
            <w:tcW w:type="dxa" w:w="4876"/>
          </w:tcPr>
          <w:p>
            <w:r>
              <w:t>Eleven väljer inom givna ramar: vilken uppgift som görs först, vilket av två material som används eller om svaret skrivs eller ritas. Valet ger eleven känsla av kontroll och minskar motståndet utan att kraven sänks.</w:t>
            </w:r>
          </w:p>
          <w:p>
            <w:r>
              <w:rPr>
                <w:i/>
                <w:color w:val="666666"/>
                <w:sz w:val="15"/>
              </w:rPr>
              <w:t>Källa: Royer m.fl. 2017 (systematisk översikt). Se även: Levla: Erbjud valförslag</w:t>
            </w:r>
          </w:p>
        </w:tc>
        <w:tc>
          <w:tcPr>
            <w:tcW w:type="dxa" w:w="3175"/>
          </w:tcPr>
          <w:p>
            <w:r>
              <w:t>Eleven erbjuds två eller tre valmöjligheter i uppgiften, gällande ordning, material eller redovisningssätt.</w:t>
            </w:r>
          </w:p>
        </w:tc>
        <w:tc>
          <w:tcPr>
            <w:tcW w:type="dxa" w:w="2948"/>
          </w:tcPr>
          <w:p>
            <w:r>
              <w:t>Jämför antalet påbörjade och slutförda uppgifter med och utan val under två veckor.</w:t>
            </w:r>
          </w:p>
        </w:tc>
        <w:tc>
          <w:tcPr>
            <w:tcW w:type="dxa" w:w="1191"/>
          </w:tcPr>
          <w:p>
            <w:r>
              <w:t>F–9</w:t>
              <w:br/>
              <w:t>Måttlig</w:t>
            </w:r>
          </w:p>
        </w:tc>
      </w:tr>
    </w:tbl>
    <w:p>
      <w:r>
        <w:br w:type="page"/>
      </w:r>
    </w:p>
    <w:p>
      <w:pPr>
        <w:pStyle w:val="Heading1"/>
      </w:pPr>
      <w:r>
        <w:rPr>
          <w:color w:val="1F7A8C"/>
        </w:rPr>
        <w:t>Planering, tid och organisation</w:t>
      </w:r>
    </w:p>
    <w:p>
      <w:r>
        <w:rPr>
          <w:i/>
        </w:rPr>
        <w:t>För elever med svårt att överblicka tid, planera arbete, hålla ordning på material och komma ihåg läxor och inlämningar.</w:t>
      </w:r>
    </w:p>
    <w:tbl>
      <w:tblPr>
        <w:tblStyle w:val="TableGrid"/>
        <w:tblW w:type="auto" w:w="0"/>
        <w:jc w:val="center"/>
        <w:tblLook w:firstColumn="1" w:firstRow="1" w:lastColumn="0" w:lastRow="0" w:noHBand="0" w:noVBand="1" w:val="04A0"/>
      </w:tblPr>
      <w:tblGrid>
        <w:gridCol w:w="2523"/>
        <w:gridCol w:w="2523"/>
        <w:gridCol w:w="2523"/>
        <w:gridCol w:w="2523"/>
        <w:gridCol w:w="2523"/>
        <w:gridCol w:w="2523"/>
      </w:tblGrid>
      <w:tr>
        <w:trPr>
          <w:tblHeader w:val="true"/>
        </w:trPr>
        <w:tc>
          <w:tcPr>
            <w:tcW w:type="dxa" w:w="680"/>
            <w:shd w:val="clear" w:color="auto" w:fill="1F7A8C"/>
          </w:tcPr>
          <w:p>
            <w:r>
              <w:rPr>
                <w:b/>
                <w:color w:val="FFFFFF"/>
              </w:rPr>
              <w:t>Nr</w:t>
            </w:r>
          </w:p>
        </w:tc>
        <w:tc>
          <w:tcPr>
            <w:tcW w:type="dxa" w:w="2268"/>
            <w:shd w:val="clear" w:color="auto" w:fill="1F7A8C"/>
          </w:tcPr>
          <w:p>
            <w:r>
              <w:rPr>
                <w:b/>
                <w:color w:val="FFFFFF"/>
              </w:rPr>
              <w:t>Anpassning</w:t>
            </w:r>
          </w:p>
        </w:tc>
        <w:tc>
          <w:tcPr>
            <w:tcW w:type="dxa" w:w="4876"/>
            <w:shd w:val="clear" w:color="auto" w:fill="1F7A8C"/>
          </w:tcPr>
          <w:p>
            <w:r>
              <w:rPr>
                <w:b/>
                <w:color w:val="FFFFFF"/>
              </w:rPr>
              <w:t>Beskrivning</w:t>
            </w:r>
          </w:p>
        </w:tc>
        <w:tc>
          <w:tcPr>
            <w:tcW w:type="dxa" w:w="3175"/>
            <w:shd w:val="clear" w:color="auto" w:fill="1F7A8C"/>
          </w:tcPr>
          <w:p>
            <w:r>
              <w:rPr>
                <w:b/>
                <w:color w:val="FFFFFF"/>
              </w:rPr>
              <w:t>Formulering till dokumentation</w:t>
            </w:r>
          </w:p>
        </w:tc>
        <w:tc>
          <w:tcPr>
            <w:tcW w:type="dxa" w:w="2948"/>
            <w:shd w:val="clear" w:color="auto" w:fill="1F7A8C"/>
          </w:tcPr>
          <w:p>
            <w:r>
              <w:rPr>
                <w:b/>
                <w:color w:val="FFFFFF"/>
              </w:rPr>
              <w:t>Följ upp effekten</w:t>
            </w:r>
          </w:p>
        </w:tc>
        <w:tc>
          <w:tcPr>
            <w:tcW w:type="dxa" w:w="1191"/>
            <w:shd w:val="clear" w:color="auto" w:fill="1F7A8C"/>
          </w:tcPr>
          <w:p>
            <w:r>
              <w:rPr>
                <w:b/>
                <w:color w:val="FFFFFF"/>
              </w:rPr>
              <w:t>Stadium / evidens</w:t>
            </w:r>
          </w:p>
        </w:tc>
      </w:tr>
      <w:tr>
        <w:tc>
          <w:tcPr>
            <w:tcW w:type="dxa" w:w="680"/>
          </w:tcPr>
          <w:p>
            <w:r>
              <w:t>PO01</w:t>
            </w:r>
          </w:p>
        </w:tc>
        <w:tc>
          <w:tcPr>
            <w:tcW w:type="dxa" w:w="2268"/>
          </w:tcPr>
          <w:p>
            <w:r>
              <w:rPr>
                <w:b/>
              </w:rPr>
              <w:t>Eget dagsschema</w:t>
            </w:r>
          </w:p>
        </w:tc>
        <w:tc>
          <w:tcPr>
            <w:tcW w:type="dxa" w:w="4876"/>
          </w:tcPr>
          <w:p>
            <w:r>
              <w:t>Eleven har ett eget schema för dagen, med bilder eller text, vid sin plats, i fickan eller i mobilen. Avklarade moment bockas av så att eleven ser var i dagen hen befinner sig.</w:t>
            </w:r>
          </w:p>
          <w:p>
            <w:r>
              <w:rPr>
                <w:i/>
                <w:color w:val="666666"/>
                <w:sz w:val="15"/>
              </w:rPr>
              <w:t>Källa: Knight m.fl. 2015 (systematisk översikt); Prop. 2013/14:160. Se även: Levla: Schema och kalender; Tipsbanken: Tiden</w:t>
            </w:r>
          </w:p>
        </w:tc>
        <w:tc>
          <w:tcPr>
            <w:tcW w:type="dxa" w:w="3175"/>
          </w:tcPr>
          <w:p>
            <w:r>
              <w:t>Eleven har ett individuellt visuellt dagsschema där avklarade moment bockas av.</w:t>
            </w:r>
          </w:p>
        </w:tc>
        <w:tc>
          <w:tcPr>
            <w:tcW w:type="dxa" w:w="2948"/>
          </w:tcPr>
          <w:p>
            <w:r>
              <w:t>Räkna hur ofta eleven frågar vad som ska hända och hur ofta övergångar blir svåra, före och efter.</w:t>
            </w:r>
          </w:p>
        </w:tc>
        <w:tc>
          <w:tcPr>
            <w:tcW w:type="dxa" w:w="1191"/>
          </w:tcPr>
          <w:p>
            <w:r>
              <w:t>F–9</w:t>
              <w:br/>
              <w:t>Måttlig</w:t>
            </w:r>
          </w:p>
        </w:tc>
      </w:tr>
      <w:tr>
        <w:tc>
          <w:tcPr>
            <w:tcW w:type="dxa" w:w="680"/>
          </w:tcPr>
          <w:p>
            <w:r>
              <w:t>PO02</w:t>
            </w:r>
          </w:p>
        </w:tc>
        <w:tc>
          <w:tcPr>
            <w:tcW w:type="dxa" w:w="2268"/>
          </w:tcPr>
          <w:p>
            <w:r>
              <w:rPr>
                <w:b/>
              </w:rPr>
              <w:t>Synlig tid</w:t>
            </w:r>
          </w:p>
        </w:tc>
        <w:tc>
          <w:tcPr>
            <w:tcW w:type="dxa" w:w="4876"/>
          </w:tcPr>
          <w:p>
            <w:r>
              <w:t>En timer som visar hur mycket tid som är kvar, till exempel Time Timer, timglas eller en digital nedräkning, används vid arbetspass, prov och pauser. Eleven ser tiden i stället för att behöva tolka klockan.</w:t>
            </w:r>
          </w:p>
          <w:p>
            <w:r>
              <w:rPr>
                <w:i/>
                <w:color w:val="666666"/>
                <w:sz w:val="15"/>
              </w:rPr>
              <w:t>Källa: SPSM 2026 (tillgänglig lärmiljö). Se även: Levla: Tidsstöd; Tipsbanken: Tiden</w:t>
            </w:r>
          </w:p>
        </w:tc>
        <w:tc>
          <w:tcPr>
            <w:tcW w:type="dxa" w:w="3175"/>
          </w:tcPr>
          <w:p>
            <w:r>
              <w:t>Eleven har tillgång till visuellt tidsstöd vid arbetspass och prov.</w:t>
            </w:r>
          </w:p>
        </w:tc>
        <w:tc>
          <w:tcPr>
            <w:tcW w:type="dxa" w:w="2948"/>
          </w:tcPr>
          <w:p>
            <w:r>
              <w:t>Notera hur ofta eleven blir klar inom given tid och hur ofta hen frågar hur lång tid som är kvar.</w:t>
            </w:r>
          </w:p>
        </w:tc>
        <w:tc>
          <w:tcPr>
            <w:tcW w:type="dxa" w:w="1191"/>
          </w:tcPr>
          <w:p>
            <w:r>
              <w:t>F–9</w:t>
              <w:br/>
              <w:t>Beprövad</w:t>
            </w:r>
          </w:p>
        </w:tc>
      </w:tr>
      <w:tr>
        <w:tc>
          <w:tcPr>
            <w:tcW w:type="dxa" w:w="680"/>
          </w:tcPr>
          <w:p>
            <w:r>
              <w:t>PO03</w:t>
            </w:r>
          </w:p>
        </w:tc>
        <w:tc>
          <w:tcPr>
            <w:tcW w:type="dxa" w:w="2268"/>
          </w:tcPr>
          <w:p>
            <w:r>
              <w:rPr>
                <w:b/>
              </w:rPr>
              <w:t>Förvarning före byte</w:t>
            </w:r>
          </w:p>
        </w:tc>
        <w:tc>
          <w:tcPr>
            <w:tcW w:type="dxa" w:w="4876"/>
          </w:tcPr>
          <w:p>
            <w:r>
              <w:t>Eleven får en förvarning några minuter innan en aktivitet avslutas, till exempel ”om fem minuter slutar vi”, gärna tillsammans med en timer. Vid större förändringar i schemat får eleven veta i förväg, helst dagen innan.</w:t>
            </w:r>
          </w:p>
          <w:p>
            <w:r>
              <w:rPr>
                <w:i/>
                <w:color w:val="666666"/>
                <w:sz w:val="15"/>
              </w:rPr>
              <w:t>Källa: Steinbrenner m.fl. 2020 (antecedentbaserade insatser); SPSM 2026. Se även: Tipsbanken: Tiden, Känslor</w:t>
            </w:r>
          </w:p>
        </w:tc>
        <w:tc>
          <w:tcPr>
            <w:tcW w:type="dxa" w:w="3175"/>
          </w:tcPr>
          <w:p>
            <w:r>
              <w:t>Eleven får förvarning före övergångar och information i förväg vid schemaändringar.</w:t>
            </w:r>
          </w:p>
        </w:tc>
        <w:tc>
          <w:tcPr>
            <w:tcW w:type="dxa" w:w="2948"/>
          </w:tcPr>
          <w:p>
            <w:r>
              <w:t>Räkna antalet konflikter eller vägranden vid övergångar under två veckor före och efter.</w:t>
            </w:r>
          </w:p>
        </w:tc>
        <w:tc>
          <w:tcPr>
            <w:tcW w:type="dxa" w:w="1191"/>
          </w:tcPr>
          <w:p>
            <w:r>
              <w:t>F–9</w:t>
              <w:br/>
              <w:t>Måttlig</w:t>
            </w:r>
          </w:p>
        </w:tc>
      </w:tr>
      <w:tr>
        <w:tc>
          <w:tcPr>
            <w:tcW w:type="dxa" w:w="680"/>
          </w:tcPr>
          <w:p>
            <w:r>
              <w:t>PO04</w:t>
            </w:r>
          </w:p>
        </w:tc>
        <w:tc>
          <w:tcPr>
            <w:tcW w:type="dxa" w:w="2268"/>
          </w:tcPr>
          <w:p>
            <w:r>
              <w:rPr>
                <w:b/>
              </w:rPr>
              <w:t>Delmål med datum</w:t>
            </w:r>
          </w:p>
        </w:tc>
        <w:tc>
          <w:tcPr>
            <w:tcW w:type="dxa" w:w="4876"/>
          </w:tcPr>
          <w:p>
            <w:r>
              <w:t>Större uppgifter delas upp i delmoment med egna datum som skrivs in i elevens kalender. Läraren stämmer av vid varje delmål, inte bara vid slutinlämningen.</w:t>
            </w:r>
          </w:p>
          <w:p>
            <w:r>
              <w:rPr>
                <w:i/>
                <w:color w:val="666666"/>
                <w:sz w:val="15"/>
              </w:rPr>
              <w:t>Källa: Tipsbanken (pedagogers erfarenhet); Langberg m.fl. 2017, princip. Se även: Tipsbanken: Tiden, Självständigt arbete</w:t>
            </w:r>
          </w:p>
        </w:tc>
        <w:tc>
          <w:tcPr>
            <w:tcW w:type="dxa" w:w="3175"/>
          </w:tcPr>
          <w:p>
            <w:r>
              <w:t>Eleven får större arbeten uppdelade i delmoment med datum och avstämning vid varje delmål.</w:t>
            </w:r>
          </w:p>
        </w:tc>
        <w:tc>
          <w:tcPr>
            <w:tcW w:type="dxa" w:w="2948"/>
          </w:tcPr>
          <w:p>
            <w:r>
              <w:t>Följ hur stor andel av delmålen som lämnas in i tid.</w:t>
            </w:r>
          </w:p>
        </w:tc>
        <w:tc>
          <w:tcPr>
            <w:tcW w:type="dxa" w:w="1191"/>
          </w:tcPr>
          <w:p>
            <w:r>
              <w:t>4–6, 7–9</w:t>
              <w:br/>
              <w:t>Beprövad</w:t>
            </w:r>
          </w:p>
        </w:tc>
      </w:tr>
      <w:tr>
        <w:tc>
          <w:tcPr>
            <w:tcW w:type="dxa" w:w="680"/>
          </w:tcPr>
          <w:p>
            <w:r>
              <w:t>PO05</w:t>
            </w:r>
          </w:p>
        </w:tc>
        <w:tc>
          <w:tcPr>
            <w:tcW w:type="dxa" w:w="2268"/>
          </w:tcPr>
          <w:p>
            <w:r>
              <w:rPr>
                <w:b/>
              </w:rPr>
              <w:t>Veckoplanering med mentor</w:t>
            </w:r>
          </w:p>
        </w:tc>
        <w:tc>
          <w:tcPr>
            <w:tcW w:type="dxa" w:w="4876"/>
          </w:tcPr>
          <w:p>
            <w:r>
              <w:t>Eleven och mentorn går igenom kommande vecka under tio minuter, på samma tid varje vecka: prov, inlämningar, läxor och material. Planeringen skrivs in i elevens kalender, och eleven tar successivt över mer av planeringen själv.</w:t>
            </w:r>
          </w:p>
          <w:p>
            <w:r>
              <w:rPr>
                <w:i/>
                <w:color w:val="666666"/>
                <w:sz w:val="15"/>
              </w:rPr>
              <w:t>Källa: Langberg m.fl. 2017 (RCT, organisationsträning). Se även: Tipsbanken: Tiden</w:t>
            </w:r>
          </w:p>
        </w:tc>
        <w:tc>
          <w:tcPr>
            <w:tcW w:type="dxa" w:w="3175"/>
          </w:tcPr>
          <w:p>
            <w:r>
              <w:t>Eleven har en schemalagd veckoplanering med mentor.</w:t>
            </w:r>
          </w:p>
        </w:tc>
        <w:tc>
          <w:tcPr>
            <w:tcW w:type="dxa" w:w="2948"/>
          </w:tcPr>
          <w:p>
            <w:r>
              <w:t>Följ antalet missade inlämningar och glömda läxor per månad.</w:t>
            </w:r>
          </w:p>
        </w:tc>
        <w:tc>
          <w:tcPr>
            <w:tcW w:type="dxa" w:w="1191"/>
          </w:tcPr>
          <w:p>
            <w:r>
              <w:t>4–6, 7–9</w:t>
              <w:br/>
              <w:t>Måttlig</w:t>
            </w:r>
          </w:p>
        </w:tc>
      </w:tr>
      <w:tr>
        <w:tc>
          <w:tcPr>
            <w:tcW w:type="dxa" w:w="680"/>
          </w:tcPr>
          <w:p>
            <w:r>
              <w:t>PO06</w:t>
            </w:r>
          </w:p>
        </w:tc>
        <w:tc>
          <w:tcPr>
            <w:tcW w:type="dxa" w:w="2268"/>
          </w:tcPr>
          <w:p>
            <w:r>
              <w:rPr>
                <w:b/>
              </w:rPr>
              <w:t>Ordningsrutin för material</w:t>
            </w:r>
          </w:p>
        </w:tc>
        <w:tc>
          <w:tcPr>
            <w:tcW w:type="dxa" w:w="4876"/>
          </w:tcPr>
          <w:p>
            <w:r>
              <w:t>Eleven får hjälp att organisera sitt material med en färg per ämne, en fast plats för allt och en genomgång av pärm, väska och dator varje vecka tillsammans med en vuxen. Rutinen tränas tills eleven klarar den själv.</w:t>
            </w:r>
          </w:p>
          <w:p>
            <w:r>
              <w:rPr>
                <w:i/>
                <w:color w:val="666666"/>
                <w:sz w:val="15"/>
              </w:rPr>
              <w:t>Källa: Langberg m.fl. 2017 (RCT, organisationsträning). Se även: Tipsbanken: Saker</w:t>
            </w:r>
          </w:p>
        </w:tc>
        <w:tc>
          <w:tcPr>
            <w:tcW w:type="dxa" w:w="3175"/>
          </w:tcPr>
          <w:p>
            <w:r>
              <w:t>Eleven har färgkodat material och en veckovis genomgång av pärm och väska med vuxen.</w:t>
            </w:r>
          </w:p>
        </w:tc>
        <w:tc>
          <w:tcPr>
            <w:tcW w:type="dxa" w:w="2948"/>
          </w:tcPr>
          <w:p>
            <w:r>
              <w:t>Notera hur ofta eleven saknar material på lektionen, före och efter.</w:t>
            </w:r>
          </w:p>
        </w:tc>
        <w:tc>
          <w:tcPr>
            <w:tcW w:type="dxa" w:w="1191"/>
          </w:tcPr>
          <w:p>
            <w:r>
              <w:t>F–9</w:t>
              <w:br/>
              <w:t>Måttlig</w:t>
            </w:r>
          </w:p>
        </w:tc>
      </w:tr>
      <w:tr>
        <w:tc>
          <w:tcPr>
            <w:tcW w:type="dxa" w:w="680"/>
          </w:tcPr>
          <w:p>
            <w:r>
              <w:t>PO07</w:t>
            </w:r>
          </w:p>
        </w:tc>
        <w:tc>
          <w:tcPr>
            <w:tcW w:type="dxa" w:w="2268"/>
          </w:tcPr>
          <w:p>
            <w:r>
              <w:rPr>
                <w:b/>
              </w:rPr>
              <w:t>Materiallista och reservmaterial</w:t>
            </w:r>
          </w:p>
        </w:tc>
        <w:tc>
          <w:tcPr>
            <w:tcW w:type="dxa" w:w="4876"/>
          </w:tcPr>
          <w:p>
            <w:r>
              <w:t>En lista på insidan av skåpet eller i mobilen visar vad som ska med till varje lektion. Läraren har reservmaterial, så att en glömd penna inte stoppar lektionen.</w:t>
            </w:r>
          </w:p>
          <w:p>
            <w:r>
              <w:rPr>
                <w:i/>
                <w:color w:val="666666"/>
                <w:sz w:val="15"/>
              </w:rPr>
              <w:t>Källa: Tipsbanken (pedagogers erfarenhet). Se även: Tipsbanken: Saker</w:t>
            </w:r>
          </w:p>
        </w:tc>
        <w:tc>
          <w:tcPr>
            <w:tcW w:type="dxa" w:w="3175"/>
          </w:tcPr>
          <w:p>
            <w:r>
              <w:t>Eleven har en lektionsvis materiallista och tillgång till reservmaterial.</w:t>
            </w:r>
          </w:p>
        </w:tc>
        <w:tc>
          <w:tcPr>
            <w:tcW w:type="dxa" w:w="2948"/>
          </w:tcPr>
          <w:p>
            <w:r>
              <w:t>Räkna antalet lektioner per vecka där eleven saknar material.</w:t>
            </w:r>
          </w:p>
        </w:tc>
        <w:tc>
          <w:tcPr>
            <w:tcW w:type="dxa" w:w="1191"/>
          </w:tcPr>
          <w:p>
            <w:r>
              <w:t>4–6, 7–9</w:t>
              <w:br/>
              <w:t>Beprövad</w:t>
            </w:r>
          </w:p>
        </w:tc>
      </w:tr>
      <w:tr>
        <w:tc>
          <w:tcPr>
            <w:tcW w:type="dxa" w:w="680"/>
          </w:tcPr>
          <w:p>
            <w:r>
              <w:t>PO08</w:t>
            </w:r>
          </w:p>
        </w:tc>
        <w:tc>
          <w:tcPr>
            <w:tcW w:type="dxa" w:w="2268"/>
          </w:tcPr>
          <w:p>
            <w:r>
              <w:rPr>
                <w:b/>
              </w:rPr>
              <w:t>Allt på ett ställe</w:t>
            </w:r>
          </w:p>
        </w:tc>
        <w:tc>
          <w:tcPr>
            <w:tcW w:type="dxa" w:w="4876"/>
          </w:tcPr>
          <w:p>
            <w:r>
              <w:t>Alla läxor, uppgifter och instruktioner publiceras på samma ställe i lärplattformen och på samma sätt i alla ämnen. Både eleven och vårdnadshavarna vet var de ska titta.</w:t>
            </w:r>
          </w:p>
          <w:p>
            <w:r>
              <w:rPr>
                <w:i/>
                <w:color w:val="666666"/>
                <w:sz w:val="15"/>
              </w:rPr>
              <w:t>Källa: Beprövad praxis. Se även: Tipsbanken: Saker</w:t>
            </w:r>
          </w:p>
        </w:tc>
        <w:tc>
          <w:tcPr>
            <w:tcW w:type="dxa" w:w="3175"/>
          </w:tcPr>
          <w:p>
            <w:r>
              <w:t>Elevens uppgifter och instruktioner finns samlade på ett ställe i lärplattformen i alla ämnen.</w:t>
            </w:r>
          </w:p>
        </w:tc>
        <w:tc>
          <w:tcPr>
            <w:tcW w:type="dxa" w:w="2948"/>
          </w:tcPr>
          <w:p>
            <w:r>
              <w:t>Fråga eleven och vårdnadshavarna efter en månad om de hittar uppgifterna, och följ antalet missade inlämningar.</w:t>
            </w:r>
          </w:p>
        </w:tc>
        <w:tc>
          <w:tcPr>
            <w:tcW w:type="dxa" w:w="1191"/>
          </w:tcPr>
          <w:p>
            <w:r>
              <w:t>4–6, 7–9</w:t>
              <w:br/>
              <w:t>Beprövad</w:t>
            </w:r>
          </w:p>
        </w:tc>
      </w:tr>
      <w:tr>
        <w:tc>
          <w:tcPr>
            <w:tcW w:type="dxa" w:w="680"/>
          </w:tcPr>
          <w:p>
            <w:r>
              <w:t>PO09</w:t>
            </w:r>
          </w:p>
        </w:tc>
        <w:tc>
          <w:tcPr>
            <w:tcW w:type="dxa" w:w="2268"/>
          </w:tcPr>
          <w:p>
            <w:r>
              <w:rPr>
                <w:b/>
              </w:rPr>
              <w:t>Avstämning före hemgång</w:t>
            </w:r>
          </w:p>
        </w:tc>
        <w:tc>
          <w:tcPr>
            <w:tcW w:type="dxa" w:w="4876"/>
          </w:tcPr>
          <w:p>
            <w:r>
              <w:t>Före hemgång går eleven igenom morgondagen med en vuxen under några minuter: vad som händer, vad som ska med och vad som ska göras hemma.</w:t>
            </w:r>
          </w:p>
          <w:p>
            <w:r>
              <w:rPr>
                <w:i/>
                <w:color w:val="666666"/>
                <w:sz w:val="15"/>
              </w:rPr>
              <w:t>Källa: Tipsbanken (pedagogers erfarenhet). Se även: Tipsbanken: Saker; Levla: Check in, check ut</w:t>
            </w:r>
          </w:p>
        </w:tc>
        <w:tc>
          <w:tcPr>
            <w:tcW w:type="dxa" w:w="3175"/>
          </w:tcPr>
          <w:p>
            <w:r>
              <w:t>Eleven gör en kort avstämning av nästa dag med en vuxen före hemgång.</w:t>
            </w:r>
          </w:p>
        </w:tc>
        <w:tc>
          <w:tcPr>
            <w:tcW w:type="dxa" w:w="2948"/>
          </w:tcPr>
          <w:p>
            <w:r>
              <w:t>Följ hur ofta eleven har med rätt material och gjorda läxor.</w:t>
            </w:r>
          </w:p>
        </w:tc>
        <w:tc>
          <w:tcPr>
            <w:tcW w:type="dxa" w:w="1191"/>
          </w:tcPr>
          <w:p>
            <w:r>
              <w:t>F–9</w:t>
              <w:br/>
              <w:t>Beprövad</w:t>
            </w:r>
          </w:p>
        </w:tc>
      </w:tr>
    </w:tbl>
    <w:p>
      <w:r>
        <w:br w:type="page"/>
      </w:r>
    </w:p>
    <w:p>
      <w:pPr>
        <w:pStyle w:val="Heading1"/>
      </w:pPr>
      <w:r>
        <w:rPr>
          <w:color w:val="B45309"/>
        </w:rPr>
        <w:t>Instruktioner, förståelse och minne</w:t>
      </w:r>
    </w:p>
    <w:p>
      <w:r>
        <w:rPr>
          <w:i/>
        </w:rPr>
        <w:t>För elever som missar eller glömmer instruktioner, behöver längre tid att bearbeta information eller har svårt att hålla flera saker i huvudet.</w:t>
      </w:r>
    </w:p>
    <w:tbl>
      <w:tblPr>
        <w:tblStyle w:val="TableGrid"/>
        <w:tblW w:type="auto" w:w="0"/>
        <w:jc w:val="center"/>
        <w:tblLook w:firstColumn="1" w:firstRow="1" w:lastColumn="0" w:lastRow="0" w:noHBand="0" w:noVBand="1" w:val="04A0"/>
      </w:tblPr>
      <w:tblGrid>
        <w:gridCol w:w="2523"/>
        <w:gridCol w:w="2523"/>
        <w:gridCol w:w="2523"/>
        <w:gridCol w:w="2523"/>
        <w:gridCol w:w="2523"/>
        <w:gridCol w:w="2523"/>
      </w:tblGrid>
      <w:tr>
        <w:trPr>
          <w:tblHeader w:val="true"/>
        </w:trPr>
        <w:tc>
          <w:tcPr>
            <w:tcW w:type="dxa" w:w="680"/>
            <w:shd w:val="clear" w:color="auto" w:fill="B45309"/>
          </w:tcPr>
          <w:p>
            <w:r>
              <w:rPr>
                <w:b/>
                <w:color w:val="FFFFFF"/>
              </w:rPr>
              <w:t>Nr</w:t>
            </w:r>
          </w:p>
        </w:tc>
        <w:tc>
          <w:tcPr>
            <w:tcW w:type="dxa" w:w="2268"/>
            <w:shd w:val="clear" w:color="auto" w:fill="B45309"/>
          </w:tcPr>
          <w:p>
            <w:r>
              <w:rPr>
                <w:b/>
                <w:color w:val="FFFFFF"/>
              </w:rPr>
              <w:t>Anpassning</w:t>
            </w:r>
          </w:p>
        </w:tc>
        <w:tc>
          <w:tcPr>
            <w:tcW w:type="dxa" w:w="4876"/>
            <w:shd w:val="clear" w:color="auto" w:fill="B45309"/>
          </w:tcPr>
          <w:p>
            <w:r>
              <w:rPr>
                <w:b/>
                <w:color w:val="FFFFFF"/>
              </w:rPr>
              <w:t>Beskrivning</w:t>
            </w:r>
          </w:p>
        </w:tc>
        <w:tc>
          <w:tcPr>
            <w:tcW w:type="dxa" w:w="3175"/>
            <w:shd w:val="clear" w:color="auto" w:fill="B45309"/>
          </w:tcPr>
          <w:p>
            <w:r>
              <w:rPr>
                <w:b/>
                <w:color w:val="FFFFFF"/>
              </w:rPr>
              <w:t>Formulering till dokumentation</w:t>
            </w:r>
          </w:p>
        </w:tc>
        <w:tc>
          <w:tcPr>
            <w:tcW w:type="dxa" w:w="2948"/>
            <w:shd w:val="clear" w:color="auto" w:fill="B45309"/>
          </w:tcPr>
          <w:p>
            <w:r>
              <w:rPr>
                <w:b/>
                <w:color w:val="FFFFFF"/>
              </w:rPr>
              <w:t>Följ upp effekten</w:t>
            </w:r>
          </w:p>
        </w:tc>
        <w:tc>
          <w:tcPr>
            <w:tcW w:type="dxa" w:w="1191"/>
            <w:shd w:val="clear" w:color="auto" w:fill="B45309"/>
          </w:tcPr>
          <w:p>
            <w:r>
              <w:rPr>
                <w:b/>
                <w:color w:val="FFFFFF"/>
              </w:rPr>
              <w:t>Stadium / evidens</w:t>
            </w:r>
          </w:p>
        </w:tc>
      </w:tr>
      <w:tr>
        <w:tc>
          <w:tcPr>
            <w:tcW w:type="dxa" w:w="680"/>
          </w:tcPr>
          <w:p>
            <w:r>
              <w:t>IN01</w:t>
            </w:r>
          </w:p>
        </w:tc>
        <w:tc>
          <w:tcPr>
            <w:tcW w:type="dxa" w:w="2268"/>
          </w:tcPr>
          <w:p>
            <w:r>
              <w:rPr>
                <w:b/>
              </w:rPr>
              <w:t>En instruktion i taget</w:t>
            </w:r>
          </w:p>
        </w:tc>
        <w:tc>
          <w:tcPr>
            <w:tcW w:type="dxa" w:w="4876"/>
          </w:tcPr>
          <w:p>
            <w:r>
              <w:t>Läraren ger instruktionen kort, en sak i taget, och fångar först elevens uppmärksamhet med namn eller blick. Nästa instruktion kommer när första steget är gjort.</w:t>
            </w:r>
          </w:p>
          <w:p>
            <w:r>
              <w:rPr>
                <w:i/>
                <w:color w:val="666666"/>
                <w:sz w:val="15"/>
              </w:rPr>
              <w:t>Källa: Prop. 2013/14:160 (extra tydliga instruktioner). Se även: Tipsbanken: Saker; Levla: Instruktioner steg för steg</w:t>
            </w:r>
          </w:p>
        </w:tc>
        <w:tc>
          <w:tcPr>
            <w:tcW w:type="dxa" w:w="3175"/>
          </w:tcPr>
          <w:p>
            <w:r>
              <w:t>Eleven får korta instruktioner en i taget, med uppmärksamheten fångad först.</w:t>
            </w:r>
          </w:p>
        </w:tc>
        <w:tc>
          <w:tcPr>
            <w:tcW w:type="dxa" w:w="2948"/>
          </w:tcPr>
          <w:p>
            <w:r>
              <w:t>Räkna hur ofta eleven börjar med fel sak eller frågar vad som ska göras, före och efter.</w:t>
            </w:r>
          </w:p>
        </w:tc>
        <w:tc>
          <w:tcPr>
            <w:tcW w:type="dxa" w:w="1191"/>
          </w:tcPr>
          <w:p>
            <w:r>
              <w:t>F–9</w:t>
              <w:br/>
              <w:t>Beprövad</w:t>
            </w:r>
          </w:p>
        </w:tc>
      </w:tr>
      <w:tr>
        <w:tc>
          <w:tcPr>
            <w:tcW w:type="dxa" w:w="680"/>
          </w:tcPr>
          <w:p>
            <w:r>
              <w:t>IN02</w:t>
            </w:r>
          </w:p>
        </w:tc>
        <w:tc>
          <w:tcPr>
            <w:tcW w:type="dxa" w:w="2268"/>
          </w:tcPr>
          <w:p>
            <w:r>
              <w:rPr>
                <w:b/>
              </w:rPr>
              <w:t>Instruktionen finns kvar</w:t>
            </w:r>
          </w:p>
        </w:tc>
        <w:tc>
          <w:tcPr>
            <w:tcW w:type="dxa" w:w="4876"/>
          </w:tcPr>
          <w:p>
            <w:r>
              <w:t>Muntliga instruktioner kompletteras med stödord eller bilder på tavlan eller bänken som finns kvar under hela passet. Eleven kan gå tillbaka till instruktionen i stället för att fråga eller gissa.</w:t>
            </w:r>
          </w:p>
          <w:p>
            <w:r>
              <w:rPr>
                <w:i/>
                <w:color w:val="666666"/>
                <w:sz w:val="15"/>
              </w:rPr>
              <w:t>Källa: SPSM 2026; Prop. 2013/14:160. Se även: Levla: Bild- och symbolstöd; Tipsbanken: Självständigt arbete</w:t>
            </w:r>
          </w:p>
        </w:tc>
        <w:tc>
          <w:tcPr>
            <w:tcW w:type="dxa" w:w="3175"/>
          </w:tcPr>
          <w:p>
            <w:r>
              <w:t>Eleven har skriftliga eller bildstödda instruktioner tillgängliga under hela arbetspasset.</w:t>
            </w:r>
          </w:p>
        </w:tc>
        <w:tc>
          <w:tcPr>
            <w:tcW w:type="dxa" w:w="2948"/>
          </w:tcPr>
          <w:p>
            <w:r>
              <w:t>Räkna antalet frågor om vad som ska göras under en lektion, före och efter.</w:t>
            </w:r>
          </w:p>
        </w:tc>
        <w:tc>
          <w:tcPr>
            <w:tcW w:type="dxa" w:w="1191"/>
          </w:tcPr>
          <w:p>
            <w:r>
              <w:t>F–9</w:t>
              <w:br/>
              <w:t>Beprövad</w:t>
            </w:r>
          </w:p>
        </w:tc>
      </w:tr>
      <w:tr>
        <w:tc>
          <w:tcPr>
            <w:tcW w:type="dxa" w:w="680"/>
          </w:tcPr>
          <w:p>
            <w:r>
              <w:t>IN03</w:t>
            </w:r>
          </w:p>
        </w:tc>
        <w:tc>
          <w:tcPr>
            <w:tcW w:type="dxa" w:w="2268"/>
          </w:tcPr>
          <w:p>
            <w:r>
              <w:rPr>
                <w:b/>
              </w:rPr>
              <w:t>Säg det med egna ord</w:t>
            </w:r>
          </w:p>
        </w:tc>
        <w:tc>
          <w:tcPr>
            <w:tcW w:type="dxa" w:w="4876"/>
          </w:tcPr>
          <w:p>
            <w:r>
              <w:t>Innan eleven börjar arbeta återberättar hen med egna ord vad som ska göras. Läraren frågar ”vad gör du först?” i stället för ”har du förstått?”.</w:t>
            </w:r>
          </w:p>
          <w:p>
            <w:r>
              <w:rPr>
                <w:i/>
                <w:color w:val="666666"/>
                <w:sz w:val="15"/>
              </w:rPr>
              <w:t>Källa: Rosenshine 2012 (kontrollera förståelsen). Se även: Tipsbanken: Självständigt arbete</w:t>
            </w:r>
          </w:p>
        </w:tc>
        <w:tc>
          <w:tcPr>
            <w:tcW w:type="dxa" w:w="3175"/>
          </w:tcPr>
          <w:p>
            <w:r>
              <w:t>Eleven återberättar instruktionen med egna ord innan arbetet påbörjas.</w:t>
            </w:r>
          </w:p>
        </w:tc>
        <w:tc>
          <w:tcPr>
            <w:tcW w:type="dxa" w:w="2948"/>
          </w:tcPr>
          <w:p>
            <w:r>
              <w:t>Notera hur ofta eleven kan återberätta rätt och hur ofta arbetet sedan blir rätt från början.</w:t>
            </w:r>
          </w:p>
        </w:tc>
        <w:tc>
          <w:tcPr>
            <w:tcW w:type="dxa" w:w="1191"/>
          </w:tcPr>
          <w:p>
            <w:r>
              <w:t>F–9</w:t>
              <w:br/>
              <w:t>Måttlig</w:t>
            </w:r>
          </w:p>
        </w:tc>
      </w:tr>
      <w:tr>
        <w:tc>
          <w:tcPr>
            <w:tcW w:type="dxa" w:w="680"/>
          </w:tcPr>
          <w:p>
            <w:r>
              <w:t>IN04</w:t>
            </w:r>
          </w:p>
        </w:tc>
        <w:tc>
          <w:tcPr>
            <w:tcW w:type="dxa" w:w="2268"/>
          </w:tcPr>
          <w:p>
            <w:r>
              <w:rPr>
                <w:b/>
              </w:rPr>
              <w:t>Färdigt exempel</w:t>
            </w:r>
          </w:p>
        </w:tc>
        <w:tc>
          <w:tcPr>
            <w:tcW w:type="dxa" w:w="4876"/>
          </w:tcPr>
          <w:p>
            <w:r>
              <w:t>Eleven får se ett färdigt exempel på hur uppgiften kan se ut, och läraren tänker högt medan hen löser ett exempel. Eleven vet vad målet är innan arbetet börjar.</w:t>
            </w:r>
          </w:p>
          <w:p>
            <w:r>
              <w:rPr>
                <w:i/>
                <w:color w:val="666666"/>
                <w:sz w:val="15"/>
              </w:rPr>
              <w:t>Källa: Rosenshine 2012; EEF 2020. Se även: Tipsbanken: Självständigt arbete</w:t>
            </w:r>
          </w:p>
        </w:tc>
        <w:tc>
          <w:tcPr>
            <w:tcW w:type="dxa" w:w="3175"/>
          </w:tcPr>
          <w:p>
            <w:r>
              <w:t>Eleven får se ett färdigt exempel och lärarens modellering innan eget arbete.</w:t>
            </w:r>
          </w:p>
        </w:tc>
        <w:tc>
          <w:tcPr>
            <w:tcW w:type="dxa" w:w="2948"/>
          </w:tcPr>
          <w:p>
            <w:r>
              <w:t>Jämför kvaliteten på elevens arbete i uppgifter med och utan exempel.</w:t>
            </w:r>
          </w:p>
        </w:tc>
        <w:tc>
          <w:tcPr>
            <w:tcW w:type="dxa" w:w="1191"/>
          </w:tcPr>
          <w:p>
            <w:r>
              <w:t>F–9</w:t>
              <w:br/>
              <w:t>Måttlig</w:t>
            </w:r>
          </w:p>
        </w:tc>
      </w:tr>
      <w:tr>
        <w:tc>
          <w:tcPr>
            <w:tcW w:type="dxa" w:w="680"/>
          </w:tcPr>
          <w:p>
            <w:r>
              <w:t>IN05</w:t>
            </w:r>
          </w:p>
        </w:tc>
        <w:tc>
          <w:tcPr>
            <w:tcW w:type="dxa" w:w="2268"/>
          </w:tcPr>
          <w:p>
            <w:r>
              <w:rPr>
                <w:b/>
              </w:rPr>
              <w:t>Jag gör, vi gör, du gör</w:t>
            </w:r>
          </w:p>
        </w:tc>
        <w:tc>
          <w:tcPr>
            <w:tcW w:type="dxa" w:w="4876"/>
          </w:tcPr>
          <w:p>
            <w:r>
              <w:t>Nytt innehåll följer tre steg för eleven: läraren visar, läraren och eleven gör tillsammans, och eleven gör själv. Eleven går vidare till eget arbete först när den gemensamma övningen fungerar, och får vid behov en extra guidad runda i liten grupp.</w:t>
            </w:r>
          </w:p>
          <w:p>
            <w:r>
              <w:rPr>
                <w:i/>
                <w:color w:val="666666"/>
                <w:sz w:val="15"/>
              </w:rPr>
              <w:t>Källa: EEF 2020 (explicit undervisning); Fuchs m.fl. (WWC) 2021</w:t>
            </w:r>
          </w:p>
        </w:tc>
        <w:tc>
          <w:tcPr>
            <w:tcW w:type="dxa" w:w="3175"/>
          </w:tcPr>
          <w:p>
            <w:r>
              <w:t>Eleven får explicit undervisning i tre steg med extra guidad övning innan eget arbete.</w:t>
            </w:r>
          </w:p>
        </w:tc>
        <w:tc>
          <w:tcPr>
            <w:tcW w:type="dxa" w:w="2948"/>
          </w:tcPr>
          <w:p>
            <w:r>
              <w:t>Kontrollera med en kort exit ticket efter lektionen att eleven klarar uppgiften självständigt.</w:t>
            </w:r>
          </w:p>
        </w:tc>
        <w:tc>
          <w:tcPr>
            <w:tcW w:type="dxa" w:w="1191"/>
          </w:tcPr>
          <w:p>
            <w:r>
              <w:t>F–9</w:t>
              <w:br/>
              <w:t>Stark</w:t>
            </w:r>
          </w:p>
        </w:tc>
      </w:tr>
      <w:tr>
        <w:tc>
          <w:tcPr>
            <w:tcW w:type="dxa" w:w="680"/>
          </w:tcPr>
          <w:p>
            <w:r>
              <w:t>IN06</w:t>
            </w:r>
          </w:p>
        </w:tc>
        <w:tc>
          <w:tcPr>
            <w:tcW w:type="dxa" w:w="2268"/>
          </w:tcPr>
          <w:p>
            <w:r>
              <w:rPr>
                <w:b/>
              </w:rPr>
              <w:t>Förhandsundervisning</w:t>
            </w:r>
          </w:p>
        </w:tc>
        <w:tc>
          <w:tcPr>
            <w:tcW w:type="dxa" w:w="4876"/>
          </w:tcPr>
          <w:p>
            <w:r>
              <w:t>Före lektionen, eller dagen innan, får eleven en kort genomgång av innehåll, nyckelord och material. Det kan göras av läraren eller specialläraren, eller hemma med en film. Eleven möter lektionen med förförståelse.</w:t>
            </w:r>
          </w:p>
          <w:p>
            <w:r>
              <w:rPr>
                <w:i/>
                <w:color w:val="666666"/>
                <w:sz w:val="15"/>
              </w:rPr>
              <w:t>Källa: Koegel m.fl. 2003; Steinbrenner m.fl. 2020. Se även: Levla: Ligga steget före, Flippat lärande</w:t>
            </w:r>
          </w:p>
        </w:tc>
        <w:tc>
          <w:tcPr>
            <w:tcW w:type="dxa" w:w="3175"/>
          </w:tcPr>
          <w:p>
            <w:r>
              <w:t>Eleven får förhandsgenomgång av kommande lektions innehåll och nyckelord.</w:t>
            </w:r>
          </w:p>
        </w:tc>
        <w:tc>
          <w:tcPr>
            <w:tcW w:type="dxa" w:w="2948"/>
          </w:tcPr>
          <w:p>
            <w:r>
              <w:t>Notera elevens delaktighet och antal rätta svar under lektionen, jämfört med lektioner utan förhandsgenomgång.</w:t>
            </w:r>
          </w:p>
        </w:tc>
        <w:tc>
          <w:tcPr>
            <w:tcW w:type="dxa" w:w="1191"/>
          </w:tcPr>
          <w:p>
            <w:r>
              <w:t>F–9</w:t>
              <w:br/>
              <w:t>Måttlig</w:t>
            </w:r>
          </w:p>
        </w:tc>
      </w:tr>
      <w:tr>
        <w:tc>
          <w:tcPr>
            <w:tcW w:type="dxa" w:w="680"/>
          </w:tcPr>
          <w:p>
            <w:r>
              <w:t>IN07</w:t>
            </w:r>
          </w:p>
        </w:tc>
        <w:tc>
          <w:tcPr>
            <w:tcW w:type="dxa" w:w="2268"/>
          </w:tcPr>
          <w:p>
            <w:r>
              <w:rPr>
                <w:b/>
              </w:rPr>
              <w:t>Grafisk struktur</w:t>
            </w:r>
          </w:p>
        </w:tc>
        <w:tc>
          <w:tcPr>
            <w:tcW w:type="dxa" w:w="4876"/>
          </w:tcPr>
          <w:p>
            <w:r>
              <w:t>Eleven får en färdig struktur för att ordna innehållet i en text eller ett arbetsområde, till exempel en tankekarta, tabell eller ett flödesschema. Strukturen används vid genomgång, läsning och repetition.</w:t>
            </w:r>
          </w:p>
          <w:p>
            <w:r>
              <w:rPr>
                <w:i/>
                <w:color w:val="666666"/>
                <w:sz w:val="15"/>
              </w:rPr>
              <w:t>Källa: Dexter &amp; Hughes 2011 (metaanalys). Se även: Tipsbanken: Självständigt arbete</w:t>
            </w:r>
          </w:p>
        </w:tc>
        <w:tc>
          <w:tcPr>
            <w:tcW w:type="dxa" w:w="3175"/>
          </w:tcPr>
          <w:p>
            <w:r>
              <w:t>Eleven får grafiska strukturer (tankekarta, tabell, flödesschema) som stöd för att ordna innehåll.</w:t>
            </w:r>
          </w:p>
        </w:tc>
        <w:tc>
          <w:tcPr>
            <w:tcW w:type="dxa" w:w="2948"/>
          </w:tcPr>
          <w:p>
            <w:r>
              <w:t>Jämför elevens resultat på förståelsefrågor till texter med och utan strukturen.</w:t>
            </w:r>
          </w:p>
        </w:tc>
        <w:tc>
          <w:tcPr>
            <w:tcW w:type="dxa" w:w="1191"/>
          </w:tcPr>
          <w:p>
            <w:r>
              <w:t>F–9</w:t>
              <w:br/>
              <w:t>Stark</w:t>
            </w:r>
          </w:p>
        </w:tc>
      </w:tr>
      <w:tr>
        <w:tc>
          <w:tcPr>
            <w:tcW w:type="dxa" w:w="680"/>
          </w:tcPr>
          <w:p>
            <w:r>
              <w:t>IN08</w:t>
            </w:r>
          </w:p>
        </w:tc>
        <w:tc>
          <w:tcPr>
            <w:tcW w:type="dxa" w:w="2268"/>
          </w:tcPr>
          <w:p>
            <w:r>
              <w:rPr>
                <w:b/>
              </w:rPr>
              <w:t>Repetition i början av lektionen</w:t>
            </w:r>
          </w:p>
        </w:tc>
        <w:tc>
          <w:tcPr>
            <w:tcW w:type="dxa" w:w="4876"/>
          </w:tcPr>
          <w:p>
            <w:r>
              <w:t>Lektionen börjar med några minuters repetition av det eleven behöver från förra lektionen. Viktiga begrepp tas upp igen varje vecka och varje månad, så att de fastnar.</w:t>
            </w:r>
          </w:p>
          <w:p>
            <w:r>
              <w:rPr>
                <w:i/>
                <w:color w:val="666666"/>
                <w:sz w:val="15"/>
              </w:rPr>
              <w:t>Källa: Rosenshine 2012, principerna 1 och 10</w:t>
            </w:r>
          </w:p>
        </w:tc>
        <w:tc>
          <w:tcPr>
            <w:tcW w:type="dxa" w:w="3175"/>
          </w:tcPr>
          <w:p>
            <w:r>
              <w:t>Eleven får regelbunden repetition av tidigare innehåll i början av lektionerna.</w:t>
            </w:r>
          </w:p>
        </w:tc>
        <w:tc>
          <w:tcPr>
            <w:tcW w:type="dxa" w:w="2948"/>
          </w:tcPr>
          <w:p>
            <w:r>
              <w:t>Använd korta frågor om förra veckans innehåll och följ hur mycket eleven minns.</w:t>
            </w:r>
          </w:p>
        </w:tc>
        <w:tc>
          <w:tcPr>
            <w:tcW w:type="dxa" w:w="1191"/>
          </w:tcPr>
          <w:p>
            <w:r>
              <w:t>F–9</w:t>
              <w:br/>
              <w:t>Måttlig</w:t>
            </w:r>
          </w:p>
        </w:tc>
      </w:tr>
      <w:tr>
        <w:tc>
          <w:tcPr>
            <w:tcW w:type="dxa" w:w="680"/>
          </w:tcPr>
          <w:p>
            <w:r>
              <w:t>IN09</w:t>
            </w:r>
          </w:p>
        </w:tc>
        <w:tc>
          <w:tcPr>
            <w:tcW w:type="dxa" w:w="2268"/>
          </w:tcPr>
          <w:p>
            <w:r>
              <w:rPr>
                <w:b/>
              </w:rPr>
              <w:t>Färdiga anteckningar</w:t>
            </w:r>
          </w:p>
        </w:tc>
        <w:tc>
          <w:tcPr>
            <w:tcW w:type="dxa" w:w="4876"/>
          </w:tcPr>
          <w:p>
            <w:r>
              <w:t>Eleven får lärarens presentation eller färdiga anteckningar i stället för att skriva av från tavlan. Energin går till att lyssna och förstå.</w:t>
            </w:r>
          </w:p>
          <w:p>
            <w:r>
              <w:rPr>
                <w:i/>
                <w:color w:val="666666"/>
                <w:sz w:val="15"/>
              </w:rPr>
              <w:t>Källa: Tipsbanken (pedagogers erfarenhet). Se även: Tipsbanken: Självständigt arbete</w:t>
            </w:r>
          </w:p>
        </w:tc>
        <w:tc>
          <w:tcPr>
            <w:tcW w:type="dxa" w:w="3175"/>
          </w:tcPr>
          <w:p>
            <w:r>
              <w:t>Eleven får lektionsanteckningar eller lärarens presentation i stället för att skriva av.</w:t>
            </w:r>
          </w:p>
        </w:tc>
        <w:tc>
          <w:tcPr>
            <w:tcW w:type="dxa" w:w="2948"/>
          </w:tcPr>
          <w:p>
            <w:r>
              <w:t>Fråga eleven efter tre veckor om stödet hjälper, och jämför resultat på förståelsefrågor.</w:t>
            </w:r>
          </w:p>
        </w:tc>
        <w:tc>
          <w:tcPr>
            <w:tcW w:type="dxa" w:w="1191"/>
          </w:tcPr>
          <w:p>
            <w:r>
              <w:t>4–6, 7–9</w:t>
              <w:br/>
              <w:t>Beprövad</w:t>
            </w:r>
          </w:p>
        </w:tc>
      </w:tr>
    </w:tbl>
    <w:p>
      <w:r>
        <w:br w:type="page"/>
      </w:r>
    </w:p>
    <w:p>
      <w:pPr>
        <w:pStyle w:val="Heading1"/>
      </w:pPr>
      <w:r>
        <w:rPr>
          <w:color w:val="2E7D4F"/>
        </w:rPr>
        <w:t>Läsning</w:t>
      </w:r>
    </w:p>
    <w:p>
      <w:r>
        <w:rPr>
          <w:i/>
        </w:rPr>
        <w:t>För elever med avkodningssvårigheter, långsam läsning eller svag läsförståelse. Kombinera tillgång till text med träning av läsfärdigheten.</w:t>
      </w:r>
    </w:p>
    <w:tbl>
      <w:tblPr>
        <w:tblStyle w:val="TableGrid"/>
        <w:tblW w:type="auto" w:w="0"/>
        <w:jc w:val="center"/>
        <w:tblLook w:firstColumn="1" w:firstRow="1" w:lastColumn="0" w:lastRow="0" w:noHBand="0" w:noVBand="1" w:val="04A0"/>
      </w:tblPr>
      <w:tblGrid>
        <w:gridCol w:w="2523"/>
        <w:gridCol w:w="2523"/>
        <w:gridCol w:w="2523"/>
        <w:gridCol w:w="2523"/>
        <w:gridCol w:w="2523"/>
        <w:gridCol w:w="2523"/>
      </w:tblGrid>
      <w:tr>
        <w:trPr>
          <w:tblHeader w:val="true"/>
        </w:trPr>
        <w:tc>
          <w:tcPr>
            <w:tcW w:type="dxa" w:w="680"/>
            <w:shd w:val="clear" w:color="auto" w:fill="2E7D4F"/>
          </w:tcPr>
          <w:p>
            <w:r>
              <w:rPr>
                <w:b/>
                <w:color w:val="FFFFFF"/>
              </w:rPr>
              <w:t>Nr</w:t>
            </w:r>
          </w:p>
        </w:tc>
        <w:tc>
          <w:tcPr>
            <w:tcW w:type="dxa" w:w="2268"/>
            <w:shd w:val="clear" w:color="auto" w:fill="2E7D4F"/>
          </w:tcPr>
          <w:p>
            <w:r>
              <w:rPr>
                <w:b/>
                <w:color w:val="FFFFFF"/>
              </w:rPr>
              <w:t>Anpassning</w:t>
            </w:r>
          </w:p>
        </w:tc>
        <w:tc>
          <w:tcPr>
            <w:tcW w:type="dxa" w:w="4876"/>
            <w:shd w:val="clear" w:color="auto" w:fill="2E7D4F"/>
          </w:tcPr>
          <w:p>
            <w:r>
              <w:rPr>
                <w:b/>
                <w:color w:val="FFFFFF"/>
              </w:rPr>
              <w:t>Beskrivning</w:t>
            </w:r>
          </w:p>
        </w:tc>
        <w:tc>
          <w:tcPr>
            <w:tcW w:type="dxa" w:w="3175"/>
            <w:shd w:val="clear" w:color="auto" w:fill="2E7D4F"/>
          </w:tcPr>
          <w:p>
            <w:r>
              <w:rPr>
                <w:b/>
                <w:color w:val="FFFFFF"/>
              </w:rPr>
              <w:t>Formulering till dokumentation</w:t>
            </w:r>
          </w:p>
        </w:tc>
        <w:tc>
          <w:tcPr>
            <w:tcW w:type="dxa" w:w="2948"/>
            <w:shd w:val="clear" w:color="auto" w:fill="2E7D4F"/>
          </w:tcPr>
          <w:p>
            <w:r>
              <w:rPr>
                <w:b/>
                <w:color w:val="FFFFFF"/>
              </w:rPr>
              <w:t>Följ upp effekten</w:t>
            </w:r>
          </w:p>
        </w:tc>
        <w:tc>
          <w:tcPr>
            <w:tcW w:type="dxa" w:w="1191"/>
            <w:shd w:val="clear" w:color="auto" w:fill="2E7D4F"/>
          </w:tcPr>
          <w:p>
            <w:r>
              <w:rPr>
                <w:b/>
                <w:color w:val="FFFFFF"/>
              </w:rPr>
              <w:t>Stadium / evidens</w:t>
            </w:r>
          </w:p>
        </w:tc>
      </w:tr>
      <w:tr>
        <w:tc>
          <w:tcPr>
            <w:tcW w:type="dxa" w:w="680"/>
          </w:tcPr>
          <w:p>
            <w:r>
              <w:t>LA01</w:t>
            </w:r>
          </w:p>
        </w:tc>
        <w:tc>
          <w:tcPr>
            <w:tcW w:type="dxa" w:w="2268"/>
          </w:tcPr>
          <w:p>
            <w:r>
              <w:rPr>
                <w:b/>
              </w:rPr>
              <w:t>Talsyntes i alla ämnen</w:t>
            </w:r>
          </w:p>
        </w:tc>
        <w:tc>
          <w:tcPr>
            <w:tcW w:type="dxa" w:w="4876"/>
          </w:tcPr>
          <w:p>
            <w:r>
              <w:t>Eleven har talsyntes för att lyssna på digitala texter i alla ämnen och vet hur verktyget används. Talsyntesen ger tillgång till innehållet men ersätter inte träning i avkodning.</w:t>
            </w:r>
          </w:p>
          <w:p>
            <w:r>
              <w:rPr>
                <w:i/>
                <w:color w:val="666666"/>
                <w:sz w:val="15"/>
              </w:rPr>
              <w:t>Källa: Wood m.fl. 2018 (metaanalys)</w:t>
            </w:r>
          </w:p>
        </w:tc>
        <w:tc>
          <w:tcPr>
            <w:tcW w:type="dxa" w:w="3175"/>
          </w:tcPr>
          <w:p>
            <w:r>
              <w:t>Eleven använder talsyntes för textbaserat material i samtliga ämnen.</w:t>
            </w:r>
          </w:p>
        </w:tc>
        <w:tc>
          <w:tcPr>
            <w:tcW w:type="dxa" w:w="2948"/>
          </w:tcPr>
          <w:p>
            <w:r>
              <w:t>Jämför elevens svar på förståelsefrågor till texter med och utan talsyntes, och kontrollera att eleven faktiskt använder verktyget.</w:t>
            </w:r>
          </w:p>
        </w:tc>
        <w:tc>
          <w:tcPr>
            <w:tcW w:type="dxa" w:w="1191"/>
          </w:tcPr>
          <w:p>
            <w:r>
              <w:t>F–9</w:t>
              <w:br/>
              <w:t>Stark</w:t>
            </w:r>
          </w:p>
        </w:tc>
      </w:tr>
      <w:tr>
        <w:tc>
          <w:tcPr>
            <w:tcW w:type="dxa" w:w="680"/>
          </w:tcPr>
          <w:p>
            <w:r>
              <w:t>LA02</w:t>
            </w:r>
          </w:p>
        </w:tc>
        <w:tc>
          <w:tcPr>
            <w:tcW w:type="dxa" w:w="2268"/>
          </w:tcPr>
          <w:p>
            <w:r>
              <w:rPr>
                <w:b/>
              </w:rPr>
              <w:t>Inlästa läromedel</w:t>
            </w:r>
          </w:p>
        </w:tc>
        <w:tc>
          <w:tcPr>
            <w:tcW w:type="dxa" w:w="4876"/>
          </w:tcPr>
          <w:p>
            <w:r>
              <w:t>Eleven har tillgång till inlästa läromedel och ljudböcker, till exempel via Legimus, för skönlitteratur och faktatexter. Eleven kan följa med i den tryckta texten samtidigt.</w:t>
            </w:r>
          </w:p>
          <w:p>
            <w:r>
              <w:rPr>
                <w:i/>
                <w:color w:val="666666"/>
                <w:sz w:val="15"/>
              </w:rPr>
              <w:t>Källa: Wood m.fl. 2018, närliggande. Se även: Tipsbanken: Självständigt arbete</w:t>
            </w:r>
          </w:p>
        </w:tc>
        <w:tc>
          <w:tcPr>
            <w:tcW w:type="dxa" w:w="3175"/>
          </w:tcPr>
          <w:p>
            <w:r>
              <w:t>Eleven har tillgång till inlästa läromedel och ljudböcker.</w:t>
            </w:r>
          </w:p>
        </w:tc>
        <w:tc>
          <w:tcPr>
            <w:tcW w:type="dxa" w:w="2948"/>
          </w:tcPr>
          <w:p>
            <w:r>
              <w:t>Följ hur mycket eleven läser och hur väl hen klarar förståelsefrågor till ljudböckerna.</w:t>
            </w:r>
          </w:p>
        </w:tc>
        <w:tc>
          <w:tcPr>
            <w:tcW w:type="dxa" w:w="1191"/>
          </w:tcPr>
          <w:p>
            <w:r>
              <w:t>F–9</w:t>
              <w:br/>
              <w:t>Beprövad</w:t>
            </w:r>
          </w:p>
        </w:tc>
      </w:tr>
      <w:tr>
        <w:tc>
          <w:tcPr>
            <w:tcW w:type="dxa" w:w="680"/>
          </w:tcPr>
          <w:p>
            <w:r>
              <w:t>LA03</w:t>
            </w:r>
          </w:p>
        </w:tc>
        <w:tc>
          <w:tcPr>
            <w:tcW w:type="dxa" w:w="2268"/>
          </w:tcPr>
          <w:p>
            <w:r>
              <w:rPr>
                <w:b/>
              </w:rPr>
              <w:t>Upprepad läsning</w:t>
            </w:r>
          </w:p>
        </w:tc>
        <w:tc>
          <w:tcPr>
            <w:tcW w:type="dxa" w:w="4876"/>
          </w:tcPr>
          <w:p>
            <w:r>
              <w:t>Eleven läser samma korta text högt tre eller fyra gånger med återkoppling, några gånger i veckan. Antalet rätt lästa ord per minut förs in i ett diagram som eleven själv ser.</w:t>
            </w:r>
          </w:p>
          <w:p>
            <w:r>
              <w:rPr>
                <w:i/>
                <w:color w:val="666666"/>
                <w:sz w:val="15"/>
              </w:rPr>
              <w:t>Källa: Therrien 2004 (metaanalys)</w:t>
            </w:r>
          </w:p>
        </w:tc>
        <w:tc>
          <w:tcPr>
            <w:tcW w:type="dxa" w:w="3175"/>
          </w:tcPr>
          <w:p>
            <w:r>
              <w:t>Eleven tränar läsflyt genom upprepad läsning med återkoppling, tre gånger per vecka.</w:t>
            </w:r>
          </w:p>
        </w:tc>
        <w:tc>
          <w:tcPr>
            <w:tcW w:type="dxa" w:w="2948"/>
          </w:tcPr>
          <w:p>
            <w:r>
              <w:t>Följ antalet rätt lästa ord per minut varannan vecka i ett diagram.</w:t>
            </w:r>
          </w:p>
        </w:tc>
        <w:tc>
          <w:tcPr>
            <w:tcW w:type="dxa" w:w="1191"/>
          </w:tcPr>
          <w:p>
            <w:r>
              <w:t>F–9</w:t>
              <w:br/>
              <w:t>Stark</w:t>
            </w:r>
          </w:p>
        </w:tc>
      </w:tr>
      <w:tr>
        <w:tc>
          <w:tcPr>
            <w:tcW w:type="dxa" w:w="680"/>
          </w:tcPr>
          <w:p>
            <w:r>
              <w:t>LA04</w:t>
            </w:r>
          </w:p>
        </w:tc>
        <w:tc>
          <w:tcPr>
            <w:tcW w:type="dxa" w:w="2268"/>
          </w:tcPr>
          <w:p>
            <w:r>
              <w:rPr>
                <w:b/>
              </w:rPr>
              <w:t>Kort daglig avkodningsträning</w:t>
            </w:r>
          </w:p>
        </w:tc>
        <w:tc>
          <w:tcPr>
            <w:tcW w:type="dxa" w:w="4876"/>
          </w:tcPr>
          <w:p>
            <w:r>
              <w:t>Eleven får en kort daglig stund på 10–15 minuter med explicit träning av ljud, bokstäver och ordläsning, med lärare eller speciallärare. Insatsen pågår under en avgränsad period och följs upp. Om den behöver pågå länge eller bli omfattande ska rektor informeras om behovet av särskilt stöd.</w:t>
            </w:r>
          </w:p>
          <w:p>
            <w:r>
              <w:rPr>
                <w:i/>
                <w:color w:val="666666"/>
                <w:sz w:val="15"/>
              </w:rPr>
              <w:t>Källa: Foorman m.fl. (WWC) 2016</w:t>
            </w:r>
          </w:p>
        </w:tc>
        <w:tc>
          <w:tcPr>
            <w:tcW w:type="dxa" w:w="3175"/>
          </w:tcPr>
          <w:p>
            <w:r>
              <w:t>Eleven får kort daglig avkodningsträning under en avgränsad period.</w:t>
            </w:r>
          </w:p>
        </w:tc>
        <w:tc>
          <w:tcPr>
            <w:tcW w:type="dxa" w:w="2948"/>
          </w:tcPr>
          <w:p>
            <w:r>
              <w:t>Testa ordavkodning med samma test före start och efter sex veckor.</w:t>
            </w:r>
          </w:p>
        </w:tc>
        <w:tc>
          <w:tcPr>
            <w:tcW w:type="dxa" w:w="1191"/>
          </w:tcPr>
          <w:p>
            <w:r>
              <w:t>F–3, 4–6</w:t>
              <w:br/>
              <w:t>Stark</w:t>
            </w:r>
          </w:p>
        </w:tc>
      </w:tr>
      <w:tr>
        <w:tc>
          <w:tcPr>
            <w:tcW w:type="dxa" w:w="680"/>
          </w:tcPr>
          <w:p>
            <w:r>
              <w:t>LA05</w:t>
            </w:r>
          </w:p>
        </w:tc>
        <w:tc>
          <w:tcPr>
            <w:tcW w:type="dxa" w:w="2268"/>
          </w:tcPr>
          <w:p>
            <w:r>
              <w:rPr>
                <w:b/>
              </w:rPr>
              <w:t>Text på rätt nivå</w:t>
            </w:r>
          </w:p>
        </w:tc>
        <w:tc>
          <w:tcPr>
            <w:tcW w:type="dxa" w:w="4876"/>
          </w:tcPr>
          <w:p>
            <w:r>
              <w:t>Eleven läser texter där hen klarar nästan alla ord, och om möjligt med samma innehåll som klassen, till exempel i lättlästa versioner. Svårare texter läses med stöd eller lyssnas på.</w:t>
            </w:r>
          </w:p>
          <w:p>
            <w:r>
              <w:rPr>
                <w:i/>
                <w:color w:val="666666"/>
                <w:sz w:val="15"/>
              </w:rPr>
              <w:t>Källa: Foorman m.fl. (WWC) 2016</w:t>
            </w:r>
          </w:p>
        </w:tc>
        <w:tc>
          <w:tcPr>
            <w:tcW w:type="dxa" w:w="3175"/>
          </w:tcPr>
          <w:p>
            <w:r>
              <w:t>Eleven får texter anpassade till sin läsnivå med samma innehåll som klassen.</w:t>
            </w:r>
          </w:p>
        </w:tc>
        <w:tc>
          <w:tcPr>
            <w:tcW w:type="dxa" w:w="2948"/>
          </w:tcPr>
          <w:p>
            <w:r>
              <w:t>Kontrollera med en kort högläsning att eleven läser minst nio av tio ord rätt i texten.</w:t>
            </w:r>
          </w:p>
        </w:tc>
        <w:tc>
          <w:tcPr>
            <w:tcW w:type="dxa" w:w="1191"/>
          </w:tcPr>
          <w:p>
            <w:r>
              <w:t>F–9</w:t>
              <w:br/>
              <w:t>Måttlig</w:t>
            </w:r>
          </w:p>
        </w:tc>
      </w:tr>
      <w:tr>
        <w:tc>
          <w:tcPr>
            <w:tcW w:type="dxa" w:w="680"/>
          </w:tcPr>
          <w:p>
            <w:r>
              <w:t>LA06</w:t>
            </w:r>
          </w:p>
        </w:tc>
        <w:tc>
          <w:tcPr>
            <w:tcW w:type="dxa" w:w="2268"/>
          </w:tcPr>
          <w:p>
            <w:r>
              <w:rPr>
                <w:b/>
              </w:rPr>
              <w:t>Lässtrategier som visas</w:t>
            </w:r>
          </w:p>
        </w:tc>
        <w:tc>
          <w:tcPr>
            <w:tcW w:type="dxa" w:w="4876"/>
          </w:tcPr>
          <w:p>
            <w:r>
              <w:t>Läraren visar och tänker högt kring strategier före, under och efter läsningen: att förutspå, ställa frågor, reda ut oklarheter och sammanfatta. Eleven övar med ett stödkort, och samma strategier används i alla ämnen.</w:t>
            </w:r>
          </w:p>
          <w:p>
            <w:r>
              <w:rPr>
                <w:i/>
                <w:color w:val="666666"/>
                <w:sz w:val="15"/>
              </w:rPr>
              <w:t>Källa: EEF 2020; EEF Toolkit (läsförståelsestrategier)</w:t>
            </w:r>
          </w:p>
        </w:tc>
        <w:tc>
          <w:tcPr>
            <w:tcW w:type="dxa" w:w="3175"/>
          </w:tcPr>
          <w:p>
            <w:r>
              <w:t>Eleven får explicit undervisning i lässtrategier med stödkort som används i alla ämnen.</w:t>
            </w:r>
          </w:p>
        </w:tc>
        <w:tc>
          <w:tcPr>
            <w:tcW w:type="dxa" w:w="2948"/>
          </w:tcPr>
          <w:p>
            <w:r>
              <w:t>Jämför elevens resultat på förståelsefrågor före start och efter sex veckor.</w:t>
            </w:r>
          </w:p>
        </w:tc>
        <w:tc>
          <w:tcPr>
            <w:tcW w:type="dxa" w:w="1191"/>
          </w:tcPr>
          <w:p>
            <w:r>
              <w:t>F–9</w:t>
              <w:br/>
              <w:t>Stark</w:t>
            </w:r>
          </w:p>
        </w:tc>
      </w:tr>
      <w:tr>
        <w:tc>
          <w:tcPr>
            <w:tcW w:type="dxa" w:w="680"/>
          </w:tcPr>
          <w:p>
            <w:r>
              <w:t>LA07</w:t>
            </w:r>
          </w:p>
        </w:tc>
        <w:tc>
          <w:tcPr>
            <w:tcW w:type="dxa" w:w="2268"/>
          </w:tcPr>
          <w:p>
            <w:r>
              <w:rPr>
                <w:b/>
              </w:rPr>
              <w:t>Förförståelse före läsning</w:t>
            </w:r>
          </w:p>
        </w:tc>
        <w:tc>
          <w:tcPr>
            <w:tcW w:type="dxa" w:w="4876"/>
          </w:tcPr>
          <w:p>
            <w:r>
              <w:t>Innan texten läses går eleven igenom svåra ord, bilder och rubriker tillsammans med en vuxen. Läraren berättar kort vad texten handlar om.</w:t>
            </w:r>
          </w:p>
          <w:p>
            <w:r>
              <w:rPr>
                <w:i/>
                <w:color w:val="666666"/>
                <w:sz w:val="15"/>
              </w:rPr>
              <w:t>Källa: Baker m.fl. (WWC) 2014; Koegel m.fl. 2003. Se även: Levla: Ligga steget före</w:t>
            </w:r>
          </w:p>
        </w:tc>
        <w:tc>
          <w:tcPr>
            <w:tcW w:type="dxa" w:w="3175"/>
          </w:tcPr>
          <w:p>
            <w:r>
              <w:t>Eleven får förförståelse av ord och innehåll innan nya texter läses.</w:t>
            </w:r>
          </w:p>
        </w:tc>
        <w:tc>
          <w:tcPr>
            <w:tcW w:type="dxa" w:w="2948"/>
          </w:tcPr>
          <w:p>
            <w:r>
              <w:t>Jämför elevens svar på förståelsefrågor till texter med och utan förberedelse.</w:t>
            </w:r>
          </w:p>
        </w:tc>
        <w:tc>
          <w:tcPr>
            <w:tcW w:type="dxa" w:w="1191"/>
          </w:tcPr>
          <w:p>
            <w:r>
              <w:t>F–9</w:t>
              <w:br/>
              <w:t>Måttlig</w:t>
            </w:r>
          </w:p>
        </w:tc>
      </w:tr>
      <w:tr>
        <w:tc>
          <w:tcPr>
            <w:tcW w:type="dxa" w:w="680"/>
          </w:tcPr>
          <w:p>
            <w:r>
              <w:t>LA08</w:t>
            </w:r>
          </w:p>
        </w:tc>
        <w:tc>
          <w:tcPr>
            <w:tcW w:type="dxa" w:w="2268"/>
          </w:tcPr>
          <w:p>
            <w:r>
              <w:rPr>
                <w:b/>
              </w:rPr>
              <w:t>Luftig text</w:t>
            </w:r>
          </w:p>
        </w:tc>
        <w:tc>
          <w:tcPr>
            <w:tcW w:type="dxa" w:w="4876"/>
          </w:tcPr>
          <w:p>
            <w:r>
              <w:t>Texter ges med större radavstånd, kortare rader och tydliga rubriker, och eleven kan använda läslinjal. Undvik färgade overlays och dyslexitypsnitt, eftersom forskningen inte ger dem stöd.</w:t>
            </w:r>
          </w:p>
          <w:p>
            <w:r>
              <w:rPr>
                <w:i/>
                <w:color w:val="666666"/>
                <w:sz w:val="15"/>
              </w:rPr>
              <w:t>Källa: Wery &amp; Diliberto 2017; Griffiths m.fl. 2016. Se även: Tipsbanken: Koncentration (läslinjal)</w:t>
            </w:r>
          </w:p>
        </w:tc>
        <w:tc>
          <w:tcPr>
            <w:tcW w:type="dxa" w:w="3175"/>
          </w:tcPr>
          <w:p>
            <w:r>
              <w:t>Eleven får texter med ökat radavstånd och tydlig layout, och kan använda läslinjal.</w:t>
            </w:r>
          </w:p>
        </w:tc>
        <w:tc>
          <w:tcPr>
            <w:tcW w:type="dxa" w:w="2948"/>
          </w:tcPr>
          <w:p>
            <w:r>
              <w:t>Fråga eleven vad som underlättar och jämför läshastigheten i två layouter.</w:t>
            </w:r>
          </w:p>
        </w:tc>
        <w:tc>
          <w:tcPr>
            <w:tcW w:type="dxa" w:w="1191"/>
          </w:tcPr>
          <w:p>
            <w:r>
              <w:t>F–9</w:t>
              <w:br/>
              <w:t>Beprövad</w:t>
            </w:r>
          </w:p>
        </w:tc>
      </w:tr>
      <w:tr>
        <w:tc>
          <w:tcPr>
            <w:tcW w:type="dxa" w:w="680"/>
          </w:tcPr>
          <w:p>
            <w:r>
              <w:t>LA09</w:t>
            </w:r>
          </w:p>
        </w:tc>
        <w:tc>
          <w:tcPr>
            <w:tcW w:type="dxa" w:w="2268"/>
          </w:tcPr>
          <w:p>
            <w:r>
              <w:rPr>
                <w:b/>
              </w:rPr>
              <w:t>Strukturerad parläsning</w:t>
            </w:r>
          </w:p>
        </w:tc>
        <w:tc>
          <w:tcPr>
            <w:tcW w:type="dxa" w:w="4876"/>
          </w:tcPr>
          <w:p>
            <w:r>
              <w:t>Eleven läser i par med en kamrat enligt fasta roller: den ene läser och den andre lyssnar och stöttar, och sedan byter de. Paren och texterna väljs av läraren.</w:t>
            </w:r>
          </w:p>
          <w:p>
            <w:r>
              <w:rPr>
                <w:i/>
                <w:color w:val="666666"/>
                <w:sz w:val="15"/>
              </w:rPr>
              <w:t>Källa: WWC (PALS); Gersten m.fl. 2009</w:t>
            </w:r>
          </w:p>
        </w:tc>
        <w:tc>
          <w:tcPr>
            <w:tcW w:type="dxa" w:w="3175"/>
          </w:tcPr>
          <w:p>
            <w:r>
              <w:t>Eleven deltar i strukturerad parläsning med fasta roller, flera gånger i veckan.</w:t>
            </w:r>
          </w:p>
        </w:tc>
        <w:tc>
          <w:tcPr>
            <w:tcW w:type="dxa" w:w="2948"/>
          </w:tcPr>
          <w:p>
            <w:r>
              <w:t>Följ läsflytet med ord per minut varannan vecka.</w:t>
            </w:r>
          </w:p>
        </w:tc>
        <w:tc>
          <w:tcPr>
            <w:tcW w:type="dxa" w:w="1191"/>
          </w:tcPr>
          <w:p>
            <w:r>
              <w:t>F–9</w:t>
              <w:br/>
              <w:t>Måttlig</w:t>
            </w:r>
          </w:p>
        </w:tc>
      </w:tr>
    </w:tbl>
    <w:p>
      <w:r>
        <w:br w:type="page"/>
      </w:r>
    </w:p>
    <w:p>
      <w:pPr>
        <w:pStyle w:val="Heading1"/>
      </w:pPr>
      <w:r>
        <w:rPr>
          <w:color w:val="9D3B6B"/>
        </w:rPr>
        <w:t>Skrivning och stavning</w:t>
      </w:r>
    </w:p>
    <w:p>
      <w:r>
        <w:rPr>
          <w:i/>
        </w:rPr>
        <w:t>För elever som har svårt att stava, formulera sig i skrift, strukturera en text eller orka skriva för hand.</w:t>
      </w:r>
    </w:p>
    <w:tbl>
      <w:tblPr>
        <w:tblStyle w:val="TableGrid"/>
        <w:tblW w:type="auto" w:w="0"/>
        <w:jc w:val="center"/>
        <w:tblLook w:firstColumn="1" w:firstRow="1" w:lastColumn="0" w:lastRow="0" w:noHBand="0" w:noVBand="1" w:val="04A0"/>
      </w:tblPr>
      <w:tblGrid>
        <w:gridCol w:w="2523"/>
        <w:gridCol w:w="2523"/>
        <w:gridCol w:w="2523"/>
        <w:gridCol w:w="2523"/>
        <w:gridCol w:w="2523"/>
        <w:gridCol w:w="2523"/>
      </w:tblGrid>
      <w:tr>
        <w:trPr>
          <w:tblHeader w:val="true"/>
        </w:trPr>
        <w:tc>
          <w:tcPr>
            <w:tcW w:type="dxa" w:w="680"/>
            <w:shd w:val="clear" w:color="auto" w:fill="9D3B6B"/>
          </w:tcPr>
          <w:p>
            <w:r>
              <w:rPr>
                <w:b/>
                <w:color w:val="FFFFFF"/>
              </w:rPr>
              <w:t>Nr</w:t>
            </w:r>
          </w:p>
        </w:tc>
        <w:tc>
          <w:tcPr>
            <w:tcW w:type="dxa" w:w="2268"/>
            <w:shd w:val="clear" w:color="auto" w:fill="9D3B6B"/>
          </w:tcPr>
          <w:p>
            <w:r>
              <w:rPr>
                <w:b/>
                <w:color w:val="FFFFFF"/>
              </w:rPr>
              <w:t>Anpassning</w:t>
            </w:r>
          </w:p>
        </w:tc>
        <w:tc>
          <w:tcPr>
            <w:tcW w:type="dxa" w:w="4876"/>
            <w:shd w:val="clear" w:color="auto" w:fill="9D3B6B"/>
          </w:tcPr>
          <w:p>
            <w:r>
              <w:rPr>
                <w:b/>
                <w:color w:val="FFFFFF"/>
              </w:rPr>
              <w:t>Beskrivning</w:t>
            </w:r>
          </w:p>
        </w:tc>
        <w:tc>
          <w:tcPr>
            <w:tcW w:type="dxa" w:w="3175"/>
            <w:shd w:val="clear" w:color="auto" w:fill="9D3B6B"/>
          </w:tcPr>
          <w:p>
            <w:r>
              <w:rPr>
                <w:b/>
                <w:color w:val="FFFFFF"/>
              </w:rPr>
              <w:t>Formulering till dokumentation</w:t>
            </w:r>
          </w:p>
        </w:tc>
        <w:tc>
          <w:tcPr>
            <w:tcW w:type="dxa" w:w="2948"/>
            <w:shd w:val="clear" w:color="auto" w:fill="9D3B6B"/>
          </w:tcPr>
          <w:p>
            <w:r>
              <w:rPr>
                <w:b/>
                <w:color w:val="FFFFFF"/>
              </w:rPr>
              <w:t>Följ upp effekten</w:t>
            </w:r>
          </w:p>
        </w:tc>
        <w:tc>
          <w:tcPr>
            <w:tcW w:type="dxa" w:w="1191"/>
            <w:shd w:val="clear" w:color="auto" w:fill="9D3B6B"/>
          </w:tcPr>
          <w:p>
            <w:r>
              <w:rPr>
                <w:b/>
                <w:color w:val="FFFFFF"/>
              </w:rPr>
              <w:t>Stadium / evidens</w:t>
            </w:r>
          </w:p>
        </w:tc>
      </w:tr>
      <w:tr>
        <w:tc>
          <w:tcPr>
            <w:tcW w:type="dxa" w:w="680"/>
          </w:tcPr>
          <w:p>
            <w:r>
              <w:t>SK01</w:t>
            </w:r>
          </w:p>
        </w:tc>
        <w:tc>
          <w:tcPr>
            <w:tcW w:type="dxa" w:w="2268"/>
          </w:tcPr>
          <w:p>
            <w:r>
              <w:rPr>
                <w:b/>
              </w:rPr>
              <w:t>Tal till text</w:t>
            </w:r>
          </w:p>
        </w:tc>
        <w:tc>
          <w:tcPr>
            <w:tcW w:type="dxa" w:w="4876"/>
          </w:tcPr>
          <w:p>
            <w:r>
              <w:t>Eleven kan diktera sin text med tal till text-funktion och redigera den efteråt. Det gör att tankarna inte stoppas av stavning eller handskrift.</w:t>
            </w:r>
          </w:p>
          <w:p>
            <w:r>
              <w:rPr>
                <w:i/>
                <w:color w:val="666666"/>
                <w:sz w:val="15"/>
              </w:rPr>
              <w:t>Källa: EEF 2020 (teknik som stöd)</w:t>
            </w:r>
          </w:p>
        </w:tc>
        <w:tc>
          <w:tcPr>
            <w:tcW w:type="dxa" w:w="3175"/>
          </w:tcPr>
          <w:p>
            <w:r>
              <w:t>Eleven använder tal till text vid skrivuppgifter.</w:t>
            </w:r>
          </w:p>
        </w:tc>
        <w:tc>
          <w:tcPr>
            <w:tcW w:type="dxa" w:w="2948"/>
          </w:tcPr>
          <w:p>
            <w:r>
              <w:t>Jämför längd och innehåll i texter skrivna med och utan verktyget.</w:t>
            </w:r>
          </w:p>
        </w:tc>
        <w:tc>
          <w:tcPr>
            <w:tcW w:type="dxa" w:w="1191"/>
          </w:tcPr>
          <w:p>
            <w:r>
              <w:t>4–6, 7–9</w:t>
              <w:br/>
              <w:t>Beprövad</w:t>
            </w:r>
          </w:p>
        </w:tc>
      </w:tr>
      <w:tr>
        <w:tc>
          <w:tcPr>
            <w:tcW w:type="dxa" w:w="680"/>
          </w:tcPr>
          <w:p>
            <w:r>
              <w:t>SK02</w:t>
            </w:r>
          </w:p>
        </w:tc>
        <w:tc>
          <w:tcPr>
            <w:tcW w:type="dxa" w:w="2268"/>
          </w:tcPr>
          <w:p>
            <w:r>
              <w:rPr>
                <w:b/>
              </w:rPr>
              <w:t>Ordprediktion och stavningskontroll</w:t>
            </w:r>
          </w:p>
        </w:tc>
        <w:tc>
          <w:tcPr>
            <w:tcW w:type="dxa" w:w="4876"/>
          </w:tcPr>
          <w:p>
            <w:r>
              <w:t>Eleven skriver på dator med ordprediktion och stavningskontroll aktiverade, och har fått lära sig att använda dem. Verktygen ska finnas även vid prov.</w:t>
            </w:r>
          </w:p>
          <w:p>
            <w:r>
              <w:rPr>
                <w:i/>
                <w:color w:val="666666"/>
                <w:sz w:val="15"/>
              </w:rPr>
              <w:t>Källa: EEF 2020 (teknik som stöd)</w:t>
            </w:r>
          </w:p>
        </w:tc>
        <w:tc>
          <w:tcPr>
            <w:tcW w:type="dxa" w:w="3175"/>
          </w:tcPr>
          <w:p>
            <w:r>
              <w:t>Eleven använder dator med ordprediktion och stavningskontroll, även vid prov.</w:t>
            </w:r>
          </w:p>
        </w:tc>
        <w:tc>
          <w:tcPr>
            <w:tcW w:type="dxa" w:w="2948"/>
          </w:tcPr>
          <w:p>
            <w:r>
              <w:t>Jämför antalet stavfel och textens längd med och utan verktygen.</w:t>
            </w:r>
          </w:p>
        </w:tc>
        <w:tc>
          <w:tcPr>
            <w:tcW w:type="dxa" w:w="1191"/>
          </w:tcPr>
          <w:p>
            <w:r>
              <w:t>F–9</w:t>
              <w:br/>
              <w:t>Beprövad</w:t>
            </w:r>
          </w:p>
        </w:tc>
      </w:tr>
      <w:tr>
        <w:tc>
          <w:tcPr>
            <w:tcW w:type="dxa" w:w="680"/>
          </w:tcPr>
          <w:p>
            <w:r>
              <w:t>SK03</w:t>
            </w:r>
          </w:p>
        </w:tc>
        <w:tc>
          <w:tcPr>
            <w:tcW w:type="dxa" w:w="2268"/>
          </w:tcPr>
          <w:p>
            <w:r>
              <w:rPr>
                <w:b/>
              </w:rPr>
              <w:t>Skrivram</w:t>
            </w:r>
          </w:p>
        </w:tc>
        <w:tc>
          <w:tcPr>
            <w:tcW w:type="dxa" w:w="4876"/>
          </w:tcPr>
          <w:p>
            <w:r>
              <w:t>Eleven får en skrivram med rubriker, meningsstartare och ord som binder ihop texten. Stödet minskas stegvis när eleven klarar mer själv.</w:t>
            </w:r>
          </w:p>
          <w:p>
            <w:r>
              <w:rPr>
                <w:i/>
                <w:color w:val="666666"/>
                <w:sz w:val="15"/>
              </w:rPr>
              <w:t>Källa: EEF 2020 (stöttning); Rosenshine 2012</w:t>
            </w:r>
          </w:p>
        </w:tc>
        <w:tc>
          <w:tcPr>
            <w:tcW w:type="dxa" w:w="3175"/>
          </w:tcPr>
          <w:p>
            <w:r>
              <w:t>Eleven får skrivram med meningsstartare och sambandsord vid skrivuppgifter.</w:t>
            </w:r>
          </w:p>
        </w:tc>
        <w:tc>
          <w:tcPr>
            <w:tcW w:type="dxa" w:w="2948"/>
          </w:tcPr>
          <w:p>
            <w:r>
              <w:t>Följ textens struktur och längd över tid, och ta bort delar av ramen när eleven klarar dem själv.</w:t>
            </w:r>
          </w:p>
        </w:tc>
        <w:tc>
          <w:tcPr>
            <w:tcW w:type="dxa" w:w="1191"/>
          </w:tcPr>
          <w:p>
            <w:r>
              <w:t>F–9</w:t>
              <w:br/>
              <w:t>Måttlig</w:t>
            </w:r>
          </w:p>
        </w:tc>
      </w:tr>
      <w:tr>
        <w:tc>
          <w:tcPr>
            <w:tcW w:type="dxa" w:w="680"/>
          </w:tcPr>
          <w:p>
            <w:r>
              <w:t>SK04</w:t>
            </w:r>
          </w:p>
        </w:tc>
        <w:tc>
          <w:tcPr>
            <w:tcW w:type="dxa" w:w="2268"/>
          </w:tcPr>
          <w:p>
            <w:r>
              <w:rPr>
                <w:b/>
              </w:rPr>
              <w:t>Skrivstrategi steg för steg</w:t>
            </w:r>
          </w:p>
        </w:tc>
        <w:tc>
          <w:tcPr>
            <w:tcW w:type="dxa" w:w="4876"/>
          </w:tcPr>
          <w:p>
            <w:r>
              <w:t>Läraren visar en skrivstrategi med tydliga steg: planera med en minnesregel, skriva och sedan granska med checklista. Eleven övar strategin och skattar själv om alla steg är med.</w:t>
            </w:r>
          </w:p>
          <w:p>
            <w:r>
              <w:rPr>
                <w:i/>
                <w:color w:val="666666"/>
                <w:sz w:val="15"/>
              </w:rPr>
              <w:t>Källa: Graham, Harris &amp; McKeown 2013 (SRSD, metaanalys)</w:t>
            </w:r>
          </w:p>
        </w:tc>
        <w:tc>
          <w:tcPr>
            <w:tcW w:type="dxa" w:w="3175"/>
          </w:tcPr>
          <w:p>
            <w:r>
              <w:t>Eleven får explicit undervisning i en skrivstrategi med planering och checklista för granskning.</w:t>
            </w:r>
          </w:p>
        </w:tc>
        <w:tc>
          <w:tcPr>
            <w:tcW w:type="dxa" w:w="2948"/>
          </w:tcPr>
          <w:p>
            <w:r>
              <w:t>Jämför texter före start och efter sex veckor med en enkel bedömningsmatris.</w:t>
            </w:r>
          </w:p>
        </w:tc>
        <w:tc>
          <w:tcPr>
            <w:tcW w:type="dxa" w:w="1191"/>
          </w:tcPr>
          <w:p>
            <w:r>
              <w:t>F–9</w:t>
              <w:br/>
              <w:t>Stark</w:t>
            </w:r>
          </w:p>
        </w:tc>
      </w:tr>
      <w:tr>
        <w:tc>
          <w:tcPr>
            <w:tcW w:type="dxa" w:w="680"/>
          </w:tcPr>
          <w:p>
            <w:r>
              <w:t>SK05</w:t>
            </w:r>
          </w:p>
        </w:tc>
        <w:tc>
          <w:tcPr>
            <w:tcW w:type="dxa" w:w="2268"/>
          </w:tcPr>
          <w:p>
            <w:r>
              <w:rPr>
                <w:b/>
              </w:rPr>
              <w:t>Kort stavningsträning</w:t>
            </w:r>
          </w:p>
        </w:tc>
        <w:tc>
          <w:tcPr>
            <w:tcW w:type="dxa" w:w="4876"/>
          </w:tcPr>
          <w:p>
            <w:r>
              <w:t>Eleven tränar stavning explicit några minuter flera gånger i veckan: ljudenlig stavning, ordfamiljer och vanliga ord med metoden titta, täck, skriv och jämför. Orden väljs från elevens egna texter.</w:t>
            </w:r>
          </w:p>
          <w:p>
            <w:r>
              <w:rPr>
                <w:i/>
                <w:color w:val="666666"/>
                <w:sz w:val="15"/>
              </w:rPr>
              <w:t>Källa: Graham &amp; Santangelo 2014 (metaanalys)</w:t>
            </w:r>
          </w:p>
        </w:tc>
        <w:tc>
          <w:tcPr>
            <w:tcW w:type="dxa" w:w="3175"/>
          </w:tcPr>
          <w:p>
            <w:r>
              <w:t>Eleven får kort, regelbunden och explicit stavningsträning med ord från egna texter.</w:t>
            </w:r>
          </w:p>
        </w:tc>
        <w:tc>
          <w:tcPr>
            <w:tcW w:type="dxa" w:w="2948"/>
          </w:tcPr>
          <w:p>
            <w:r>
              <w:t>Följ andelen rättstavade ord i ett diktamenstest varannan vecka.</w:t>
            </w:r>
          </w:p>
        </w:tc>
        <w:tc>
          <w:tcPr>
            <w:tcW w:type="dxa" w:w="1191"/>
          </w:tcPr>
          <w:p>
            <w:r>
              <w:t>F–9</w:t>
              <w:br/>
              <w:t>Stark</w:t>
            </w:r>
          </w:p>
        </w:tc>
      </w:tr>
      <w:tr>
        <w:tc>
          <w:tcPr>
            <w:tcW w:type="dxa" w:w="680"/>
          </w:tcPr>
          <w:p>
            <w:r>
              <w:t>SK06</w:t>
            </w:r>
          </w:p>
        </w:tc>
        <w:tc>
          <w:tcPr>
            <w:tcW w:type="dxa" w:w="2268"/>
          </w:tcPr>
          <w:p>
            <w:r>
              <w:rPr>
                <w:b/>
              </w:rPr>
              <w:t>Tangentbord i stället för penna</w:t>
            </w:r>
          </w:p>
        </w:tc>
        <w:tc>
          <w:tcPr>
            <w:tcW w:type="dxa" w:w="4876"/>
          </w:tcPr>
          <w:p>
            <w:r>
              <w:t>Eleven skriver längre texter på dator eller surfplatta i stället för för hand, och tränar på tangentbordet. Handskrift övas separat i kortare uppgifter.</w:t>
            </w:r>
          </w:p>
          <w:p>
            <w:r>
              <w:rPr>
                <w:i/>
                <w:color w:val="666666"/>
                <w:sz w:val="15"/>
              </w:rPr>
              <w:t>Källa: Beprövad praxis; EEF 2020 (teknik)</w:t>
            </w:r>
          </w:p>
        </w:tc>
        <w:tc>
          <w:tcPr>
            <w:tcW w:type="dxa" w:w="3175"/>
          </w:tcPr>
          <w:p>
            <w:r>
              <w:t>Eleven skriver längre texter på dator.</w:t>
            </w:r>
          </w:p>
        </w:tc>
        <w:tc>
          <w:tcPr>
            <w:tcW w:type="dxa" w:w="2948"/>
          </w:tcPr>
          <w:p>
            <w:r>
              <w:t>Jämför textlängd och skrivtid för hand och på dator.</w:t>
            </w:r>
          </w:p>
        </w:tc>
        <w:tc>
          <w:tcPr>
            <w:tcW w:type="dxa" w:w="1191"/>
          </w:tcPr>
          <w:p>
            <w:r>
              <w:t>F–9</w:t>
              <w:br/>
              <w:t>Beprövad</w:t>
            </w:r>
          </w:p>
        </w:tc>
      </w:tr>
      <w:tr>
        <w:tc>
          <w:tcPr>
            <w:tcW w:type="dxa" w:w="680"/>
          </w:tcPr>
          <w:p>
            <w:r>
              <w:t>SK07</w:t>
            </w:r>
          </w:p>
        </w:tc>
        <w:tc>
          <w:tcPr>
            <w:tcW w:type="dxa" w:w="2268"/>
          </w:tcPr>
          <w:p>
            <w:r>
              <w:rPr>
                <w:b/>
              </w:rPr>
              <w:t>Prata först, skriv sedan</w:t>
            </w:r>
          </w:p>
        </w:tc>
        <w:tc>
          <w:tcPr>
            <w:tcW w:type="dxa" w:w="4876"/>
          </w:tcPr>
          <w:p>
            <w:r>
              <w:t>Innan eleven skriver berättar hen om sina idéer för en vuxen eller kamrat, eller spelar in dem, och ordnar dem i en enkel tankekarta. Texten skrivs sedan utifrån planeringen.</w:t>
            </w:r>
          </w:p>
          <w:p>
            <w:r>
              <w:rPr>
                <w:i/>
                <w:color w:val="666666"/>
                <w:sz w:val="15"/>
              </w:rPr>
              <w:t>Källa: Dexter &amp; Hughes 2011; Graham m.fl. 2013</w:t>
            </w:r>
          </w:p>
        </w:tc>
        <w:tc>
          <w:tcPr>
            <w:tcW w:type="dxa" w:w="3175"/>
          </w:tcPr>
          <w:p>
            <w:r>
              <w:t>Eleven planerar muntligt och med tankekarta innan skrivandet.</w:t>
            </w:r>
          </w:p>
        </w:tc>
        <w:tc>
          <w:tcPr>
            <w:tcW w:type="dxa" w:w="2948"/>
          </w:tcPr>
          <w:p>
            <w:r>
              <w:t>Jämför innehåll och struktur i texter med och utan muntlig planering.</w:t>
            </w:r>
          </w:p>
        </w:tc>
        <w:tc>
          <w:tcPr>
            <w:tcW w:type="dxa" w:w="1191"/>
          </w:tcPr>
          <w:p>
            <w:r>
              <w:t>F–9</w:t>
              <w:br/>
              <w:t>Måttlig</w:t>
            </w:r>
          </w:p>
        </w:tc>
      </w:tr>
      <w:tr>
        <w:tc>
          <w:tcPr>
            <w:tcW w:type="dxa" w:w="680"/>
          </w:tcPr>
          <w:p>
            <w:r>
              <w:t>SK08</w:t>
            </w:r>
          </w:p>
        </w:tc>
        <w:tc>
          <w:tcPr>
            <w:tcW w:type="dxa" w:w="2268"/>
          </w:tcPr>
          <w:p>
            <w:r>
              <w:rPr>
                <w:b/>
              </w:rPr>
              <w:t>Innehåll före form</w:t>
            </w:r>
          </w:p>
        </w:tc>
        <w:tc>
          <w:tcPr>
            <w:tcW w:type="dxa" w:w="4876"/>
          </w:tcPr>
          <w:p>
            <w:r>
              <w:t>I ämnen där stavning inte är det som bedöms, till exempel SO och NO, bedöms elevens innehåll utan avdrag för stavning och handstil. Eleven vet om det i förväg.</w:t>
            </w:r>
          </w:p>
          <w:p>
            <w:r>
              <w:rPr>
                <w:i/>
                <w:color w:val="666666"/>
                <w:sz w:val="15"/>
              </w:rPr>
              <w:t>Källa: Skolverket SKOLFS 2022:334, princip</w:t>
            </w:r>
          </w:p>
        </w:tc>
        <w:tc>
          <w:tcPr>
            <w:tcW w:type="dxa" w:w="3175"/>
          </w:tcPr>
          <w:p>
            <w:r>
              <w:t>Elevens skriftliga redovisningar i övriga ämnen bedöms på innehåll, inte på stavning.</w:t>
            </w:r>
          </w:p>
        </w:tc>
        <w:tc>
          <w:tcPr>
            <w:tcW w:type="dxa" w:w="2948"/>
          </w:tcPr>
          <w:p>
            <w:r>
              <w:t>Fråga eleven om hen vågar skriva mer, och jämför textlängden.</w:t>
            </w:r>
          </w:p>
        </w:tc>
        <w:tc>
          <w:tcPr>
            <w:tcW w:type="dxa" w:w="1191"/>
          </w:tcPr>
          <w:p>
            <w:r>
              <w:t>4–6, 7–9</w:t>
              <w:br/>
              <w:t>Beprövad</w:t>
            </w:r>
          </w:p>
        </w:tc>
      </w:tr>
    </w:tbl>
    <w:p>
      <w:r>
        <w:br w:type="page"/>
      </w:r>
    </w:p>
    <w:p>
      <w:pPr>
        <w:pStyle w:val="Heading1"/>
      </w:pPr>
      <w:r>
        <w:rPr>
          <w:color w:val="1E40AF"/>
        </w:rPr>
        <w:t>Matematik</w:t>
      </w:r>
    </w:p>
    <w:p>
      <w:r>
        <w:rPr>
          <w:i/>
        </w:rPr>
        <w:t>För elever med svårigheter med taluppfattning, räknefärdighet, matematiska begrepp eller textuppgifter.</w:t>
      </w:r>
    </w:p>
    <w:tbl>
      <w:tblPr>
        <w:tblStyle w:val="TableGrid"/>
        <w:tblW w:type="auto" w:w="0"/>
        <w:jc w:val="center"/>
        <w:tblLook w:firstColumn="1" w:firstRow="1" w:lastColumn="0" w:lastRow="0" w:noHBand="0" w:noVBand="1" w:val="04A0"/>
      </w:tblPr>
      <w:tblGrid>
        <w:gridCol w:w="2523"/>
        <w:gridCol w:w="2523"/>
        <w:gridCol w:w="2523"/>
        <w:gridCol w:w="2523"/>
        <w:gridCol w:w="2523"/>
        <w:gridCol w:w="2523"/>
      </w:tblGrid>
      <w:tr>
        <w:trPr>
          <w:tblHeader w:val="true"/>
        </w:trPr>
        <w:tc>
          <w:tcPr>
            <w:tcW w:type="dxa" w:w="680"/>
            <w:shd w:val="clear" w:color="auto" w:fill="1E40AF"/>
          </w:tcPr>
          <w:p>
            <w:r>
              <w:rPr>
                <w:b/>
                <w:color w:val="FFFFFF"/>
              </w:rPr>
              <w:t>Nr</w:t>
            </w:r>
          </w:p>
        </w:tc>
        <w:tc>
          <w:tcPr>
            <w:tcW w:type="dxa" w:w="2268"/>
            <w:shd w:val="clear" w:color="auto" w:fill="1E40AF"/>
          </w:tcPr>
          <w:p>
            <w:r>
              <w:rPr>
                <w:b/>
                <w:color w:val="FFFFFF"/>
              </w:rPr>
              <w:t>Anpassning</w:t>
            </w:r>
          </w:p>
        </w:tc>
        <w:tc>
          <w:tcPr>
            <w:tcW w:type="dxa" w:w="4876"/>
            <w:shd w:val="clear" w:color="auto" w:fill="1E40AF"/>
          </w:tcPr>
          <w:p>
            <w:r>
              <w:rPr>
                <w:b/>
                <w:color w:val="FFFFFF"/>
              </w:rPr>
              <w:t>Beskrivning</w:t>
            </w:r>
          </w:p>
        </w:tc>
        <w:tc>
          <w:tcPr>
            <w:tcW w:type="dxa" w:w="3175"/>
            <w:shd w:val="clear" w:color="auto" w:fill="1E40AF"/>
          </w:tcPr>
          <w:p>
            <w:r>
              <w:rPr>
                <w:b/>
                <w:color w:val="FFFFFF"/>
              </w:rPr>
              <w:t>Formulering till dokumentation</w:t>
            </w:r>
          </w:p>
        </w:tc>
        <w:tc>
          <w:tcPr>
            <w:tcW w:type="dxa" w:w="2948"/>
            <w:shd w:val="clear" w:color="auto" w:fill="1E40AF"/>
          </w:tcPr>
          <w:p>
            <w:r>
              <w:rPr>
                <w:b/>
                <w:color w:val="FFFFFF"/>
              </w:rPr>
              <w:t>Följ upp effekten</w:t>
            </w:r>
          </w:p>
        </w:tc>
        <w:tc>
          <w:tcPr>
            <w:tcW w:type="dxa" w:w="1191"/>
            <w:shd w:val="clear" w:color="auto" w:fill="1E40AF"/>
          </w:tcPr>
          <w:p>
            <w:r>
              <w:rPr>
                <w:b/>
                <w:color w:val="FFFFFF"/>
              </w:rPr>
              <w:t>Stadium / evidens</w:t>
            </w:r>
          </w:p>
        </w:tc>
      </w:tr>
      <w:tr>
        <w:tc>
          <w:tcPr>
            <w:tcW w:type="dxa" w:w="680"/>
          </w:tcPr>
          <w:p>
            <w:r>
              <w:t>MA01</w:t>
            </w:r>
          </w:p>
        </w:tc>
        <w:tc>
          <w:tcPr>
            <w:tcW w:type="dxa" w:w="2268"/>
          </w:tcPr>
          <w:p>
            <w:r>
              <w:rPr>
                <w:b/>
              </w:rPr>
              <w:t>Konkret material och bilder</w:t>
            </w:r>
          </w:p>
        </w:tc>
        <w:tc>
          <w:tcPr>
            <w:tcW w:type="dxa" w:w="4876"/>
          </w:tcPr>
          <w:p>
            <w:r>
              <w:t>Eleven arbetar med konkret material, till exempel tiobasmaterial, bråkcirklar eller pengar, och med bilder som visar samma sak. Läraren kopplar uttryckligen ihop materialet med symbolerna.</w:t>
            </w:r>
          </w:p>
          <w:p>
            <w:r>
              <w:rPr>
                <w:i/>
                <w:color w:val="666666"/>
                <w:sz w:val="15"/>
              </w:rPr>
              <w:t>Källa: Fuchs m.fl. (WWC) 2021, rekommendation 3</w:t>
            </w:r>
          </w:p>
        </w:tc>
        <w:tc>
          <w:tcPr>
            <w:tcW w:type="dxa" w:w="3175"/>
          </w:tcPr>
          <w:p>
            <w:r>
              <w:t>Eleven får konkret och visuellt material kopplat till symboler i matematiken.</w:t>
            </w:r>
          </w:p>
        </w:tc>
        <w:tc>
          <w:tcPr>
            <w:tcW w:type="dxa" w:w="2948"/>
          </w:tcPr>
          <w:p>
            <w:r>
              <w:t>Kontrollera med en kort uppgift att eleven kan förklara med material och visa samma sak med siffror.</w:t>
            </w:r>
          </w:p>
        </w:tc>
        <w:tc>
          <w:tcPr>
            <w:tcW w:type="dxa" w:w="1191"/>
          </w:tcPr>
          <w:p>
            <w:r>
              <w:t>F–9</w:t>
              <w:br/>
              <w:t>Stark</w:t>
            </w:r>
          </w:p>
        </w:tc>
      </w:tr>
      <w:tr>
        <w:tc>
          <w:tcPr>
            <w:tcW w:type="dxa" w:w="680"/>
          </w:tcPr>
          <w:p>
            <w:r>
              <w:t>MA02</w:t>
            </w:r>
          </w:p>
        </w:tc>
        <w:tc>
          <w:tcPr>
            <w:tcW w:type="dxa" w:w="2268"/>
          </w:tcPr>
          <w:p>
            <w:r>
              <w:rPr>
                <w:b/>
              </w:rPr>
              <w:t>Från konkret till abstrakt</w:t>
            </w:r>
          </w:p>
        </w:tc>
        <w:tc>
          <w:tcPr>
            <w:tcW w:type="dxa" w:w="4876"/>
          </w:tcPr>
          <w:p>
            <w:r>
              <w:t>Nya begrepp tas i tre steg: först med konkret material, sedan med bilder eller streck och sist med siffror. Eleven går vidare till nästa steg när hen klarar det föregående.</w:t>
            </w:r>
          </w:p>
          <w:p>
            <w:r>
              <w:rPr>
                <w:i/>
                <w:color w:val="666666"/>
                <w:sz w:val="15"/>
              </w:rPr>
              <w:t>Källa: Bouck, Satsangi &amp; Park 2018 (syntes)</w:t>
            </w:r>
          </w:p>
        </w:tc>
        <w:tc>
          <w:tcPr>
            <w:tcW w:type="dxa" w:w="3175"/>
          </w:tcPr>
          <w:p>
            <w:r>
              <w:t>Eleven arbetar med nya begrepp i stegen konkret, bild och abstrakt.</w:t>
            </w:r>
          </w:p>
        </w:tc>
        <w:tc>
          <w:tcPr>
            <w:tcW w:type="dxa" w:w="2948"/>
          </w:tcPr>
          <w:p>
            <w:r>
              <w:t>Notera i vilket steg eleven befinner sig och om hen klarar abstrakta uppgifter efter fyra veckor.</w:t>
            </w:r>
          </w:p>
        </w:tc>
        <w:tc>
          <w:tcPr>
            <w:tcW w:type="dxa" w:w="1191"/>
          </w:tcPr>
          <w:p>
            <w:r>
              <w:t>F–9</w:t>
              <w:br/>
              <w:t>Måttlig</w:t>
            </w:r>
          </w:p>
        </w:tc>
      </w:tr>
      <w:tr>
        <w:tc>
          <w:tcPr>
            <w:tcW w:type="dxa" w:w="680"/>
          </w:tcPr>
          <w:p>
            <w:r>
              <w:t>MA03</w:t>
            </w:r>
          </w:p>
        </w:tc>
        <w:tc>
          <w:tcPr>
            <w:tcW w:type="dxa" w:w="2268"/>
          </w:tcPr>
          <w:p>
            <w:r>
              <w:rPr>
                <w:b/>
              </w:rPr>
              <w:t>Tallinjen som stöd</w:t>
            </w:r>
          </w:p>
        </w:tc>
        <w:tc>
          <w:tcPr>
            <w:tcW w:type="dxa" w:w="4876"/>
          </w:tcPr>
          <w:p>
            <w:r>
              <w:t>Tallinjen används återkommande som modell för tal, bråk, negativa tal och räkning. Eleven har en egen tallinje som stöd.</w:t>
            </w:r>
          </w:p>
          <w:p>
            <w:r>
              <w:rPr>
                <w:i/>
                <w:color w:val="666666"/>
                <w:sz w:val="15"/>
              </w:rPr>
              <w:t>Källa: Fuchs m.fl. (WWC) 2021, rekommendation 4</w:t>
            </w:r>
          </w:p>
        </w:tc>
        <w:tc>
          <w:tcPr>
            <w:tcW w:type="dxa" w:w="3175"/>
          </w:tcPr>
          <w:p>
            <w:r>
              <w:t>Eleven har tillgång till och undervisas med tallinjen som återkommande modell.</w:t>
            </w:r>
          </w:p>
        </w:tc>
        <w:tc>
          <w:tcPr>
            <w:tcW w:type="dxa" w:w="2948"/>
          </w:tcPr>
          <w:p>
            <w:r>
              <w:t>Testa elevens placering av tal på tallinjen före och efter fyra veckor.</w:t>
            </w:r>
          </w:p>
        </w:tc>
        <w:tc>
          <w:tcPr>
            <w:tcW w:type="dxa" w:w="1191"/>
          </w:tcPr>
          <w:p>
            <w:r>
              <w:t>F–9</w:t>
              <w:br/>
              <w:t>Stark</w:t>
            </w:r>
          </w:p>
        </w:tc>
      </w:tr>
      <w:tr>
        <w:tc>
          <w:tcPr>
            <w:tcW w:type="dxa" w:w="680"/>
          </w:tcPr>
          <w:p>
            <w:r>
              <w:t>MA04</w:t>
            </w:r>
          </w:p>
        </w:tc>
        <w:tc>
          <w:tcPr>
            <w:tcW w:type="dxa" w:w="2268"/>
          </w:tcPr>
          <w:p>
            <w:r>
              <w:rPr>
                <w:b/>
              </w:rPr>
              <w:t>Daglig kort faktaträning</w:t>
            </w:r>
          </w:p>
        </w:tc>
        <w:tc>
          <w:tcPr>
            <w:tcW w:type="dxa" w:w="4876"/>
          </w:tcPr>
          <w:p>
            <w:r>
              <w:t>Eleven tränar tabeller och talkombinationer i tio minuter varje dag, till exempel med metoden titta, täck, skriv och jämför eller ett digitalt program med direkt återkoppling. Elever som oroar sig ska inte tidtas vid bedömning.</w:t>
            </w:r>
          </w:p>
          <w:p>
            <w:r>
              <w:rPr>
                <w:i/>
                <w:color w:val="666666"/>
                <w:sz w:val="15"/>
              </w:rPr>
              <w:t>Källa: Fuchs m.fl. (WWC) 2021, rekommendation 6; Burns m.fl. 2010. Se även: Tipsbanken: Koncentration (digital mängdträning)</w:t>
            </w:r>
          </w:p>
        </w:tc>
        <w:tc>
          <w:tcPr>
            <w:tcW w:type="dxa" w:w="3175"/>
          </w:tcPr>
          <w:p>
            <w:r>
              <w:t>Eleven tränar talfakta tio minuter dagligen med direkt återkoppling.</w:t>
            </w:r>
          </w:p>
        </w:tc>
        <w:tc>
          <w:tcPr>
            <w:tcW w:type="dxa" w:w="2948"/>
          </w:tcPr>
          <w:p>
            <w:r>
              <w:t>Följ antalet rätt per minut varannan vecka i ett diagram som eleven själv ser.</w:t>
            </w:r>
          </w:p>
        </w:tc>
        <w:tc>
          <w:tcPr>
            <w:tcW w:type="dxa" w:w="1191"/>
          </w:tcPr>
          <w:p>
            <w:r>
              <w:t>F–9</w:t>
              <w:br/>
              <w:t>Stark</w:t>
            </w:r>
          </w:p>
        </w:tc>
      </w:tr>
      <w:tr>
        <w:tc>
          <w:tcPr>
            <w:tcW w:type="dxa" w:w="680"/>
          </w:tcPr>
          <w:p>
            <w:r>
              <w:t>MA05</w:t>
            </w:r>
          </w:p>
        </w:tc>
        <w:tc>
          <w:tcPr>
            <w:tcW w:type="dxa" w:w="2268"/>
          </w:tcPr>
          <w:p>
            <w:r>
              <w:rPr>
                <w:b/>
              </w:rPr>
              <w:t>Löst exempel bredvid uppgiften</w:t>
            </w:r>
          </w:p>
        </w:tc>
        <w:tc>
          <w:tcPr>
            <w:tcW w:type="dxa" w:w="4876"/>
          </w:tcPr>
          <w:p>
            <w:r>
              <w:t>Bredvid varje ny uppgiftstyp finns ett löst exempel där alla steg syns. Eleven kan jämföra sitt eget arbete med exemplet.</w:t>
            </w:r>
          </w:p>
          <w:p>
            <w:r>
              <w:rPr>
                <w:i/>
                <w:color w:val="666666"/>
                <w:sz w:val="15"/>
              </w:rPr>
              <w:t>Källa: Rosenshine 2012; Fuchs m.fl. (WWC) 2021</w:t>
            </w:r>
          </w:p>
        </w:tc>
        <w:tc>
          <w:tcPr>
            <w:tcW w:type="dxa" w:w="3175"/>
          </w:tcPr>
          <w:p>
            <w:r>
              <w:t>Eleven får lösta exempel med synliga steg bredvid nya uppgiftstyper.</w:t>
            </w:r>
          </w:p>
        </w:tc>
        <w:tc>
          <w:tcPr>
            <w:tcW w:type="dxa" w:w="2948"/>
          </w:tcPr>
          <w:p>
            <w:r>
              <w:t>Jämför andelen rätt på uppgifter med och utan löst exempel.</w:t>
            </w:r>
          </w:p>
        </w:tc>
        <w:tc>
          <w:tcPr>
            <w:tcW w:type="dxa" w:w="1191"/>
          </w:tcPr>
          <w:p>
            <w:r>
              <w:t>F–9</w:t>
              <w:br/>
              <w:t>Måttlig</w:t>
            </w:r>
          </w:p>
        </w:tc>
      </w:tr>
      <w:tr>
        <w:tc>
          <w:tcPr>
            <w:tcW w:type="dxa" w:w="680"/>
          </w:tcPr>
          <w:p>
            <w:r>
              <w:t>MA06</w:t>
            </w:r>
          </w:p>
        </w:tc>
        <w:tc>
          <w:tcPr>
            <w:tcW w:type="dxa" w:w="2268"/>
          </w:tcPr>
          <w:p>
            <w:r>
              <w:rPr>
                <w:b/>
              </w:rPr>
              <w:t>Lösningsmodell för textuppgifter</w:t>
            </w:r>
          </w:p>
        </w:tc>
        <w:tc>
          <w:tcPr>
            <w:tcW w:type="dxa" w:w="4876"/>
          </w:tcPr>
          <w:p>
            <w:r>
              <w:t>Eleven lär sig en fast arbetsgång för textuppgifter: läsa, rita, räkna och svara. Läraren visar också hur man känner igen vanliga uppgiftstyper. Arbetsgången finns på ett kort vid elevens plats.</w:t>
            </w:r>
          </w:p>
          <w:p>
            <w:r>
              <w:rPr>
                <w:i/>
                <w:color w:val="666666"/>
                <w:sz w:val="15"/>
              </w:rPr>
              <w:t>Källa: Fuchs m.fl. (WWC) 2021, rekommendation 5; Gersten m.fl. 2009</w:t>
            </w:r>
          </w:p>
        </w:tc>
        <w:tc>
          <w:tcPr>
            <w:tcW w:type="dxa" w:w="3175"/>
          </w:tcPr>
          <w:p>
            <w:r>
              <w:t>Eleven använder en fast lösningsmodell med stödkort vid textuppgifter.</w:t>
            </w:r>
          </w:p>
        </w:tc>
        <w:tc>
          <w:tcPr>
            <w:tcW w:type="dxa" w:w="2948"/>
          </w:tcPr>
          <w:p>
            <w:r>
              <w:t>Jämför andelen lösta textuppgifter före start och efter sex veckor.</w:t>
            </w:r>
          </w:p>
        </w:tc>
        <w:tc>
          <w:tcPr>
            <w:tcW w:type="dxa" w:w="1191"/>
          </w:tcPr>
          <w:p>
            <w:r>
              <w:t>F–9</w:t>
              <w:br/>
              <w:t>Stark</w:t>
            </w:r>
          </w:p>
        </w:tc>
      </w:tr>
      <w:tr>
        <w:tc>
          <w:tcPr>
            <w:tcW w:type="dxa" w:w="680"/>
          </w:tcPr>
          <w:p>
            <w:r>
              <w:t>MA07</w:t>
            </w:r>
          </w:p>
        </w:tc>
        <w:tc>
          <w:tcPr>
            <w:tcW w:type="dxa" w:w="2268"/>
          </w:tcPr>
          <w:p>
            <w:r>
              <w:rPr>
                <w:b/>
              </w:rPr>
              <w:t>Matematikord i fokus</w:t>
            </w:r>
          </w:p>
        </w:tc>
        <w:tc>
          <w:tcPr>
            <w:tcW w:type="dxa" w:w="4876"/>
          </w:tcPr>
          <w:p>
            <w:r>
              <w:t>Nya matematiska ord, som täljare, differens och omkrets, undervisas uttryckligen med bild och exempel och samlas i elevens egen ordlista. Läraren använder samma ord konsekvent.</w:t>
            </w:r>
          </w:p>
          <w:p>
            <w:r>
              <w:rPr>
                <w:i/>
                <w:color w:val="666666"/>
                <w:sz w:val="15"/>
              </w:rPr>
              <w:t>Källa: Fuchs m.fl. (WWC) 2021, rekommendation 2</w:t>
            </w:r>
          </w:p>
        </w:tc>
        <w:tc>
          <w:tcPr>
            <w:tcW w:type="dxa" w:w="3175"/>
          </w:tcPr>
          <w:p>
            <w:r>
              <w:t>Eleven får explicit undervisning i matematiska begrepp och har en egen bildstödd ordlista.</w:t>
            </w:r>
          </w:p>
        </w:tc>
        <w:tc>
          <w:tcPr>
            <w:tcW w:type="dxa" w:w="2948"/>
          </w:tcPr>
          <w:p>
            <w:r>
              <w:t>Kontrollera med en kort ordförhörsuppgift att eleven kan förklara veckans begrepp.</w:t>
            </w:r>
          </w:p>
        </w:tc>
        <w:tc>
          <w:tcPr>
            <w:tcW w:type="dxa" w:w="1191"/>
          </w:tcPr>
          <w:p>
            <w:r>
              <w:t>F–9</w:t>
              <w:br/>
              <w:t>Stark</w:t>
            </w:r>
          </w:p>
        </w:tc>
      </w:tr>
      <w:tr>
        <w:tc>
          <w:tcPr>
            <w:tcW w:type="dxa" w:w="680"/>
          </w:tcPr>
          <w:p>
            <w:r>
              <w:t>MA08</w:t>
            </w:r>
          </w:p>
        </w:tc>
        <w:tc>
          <w:tcPr>
            <w:tcW w:type="dxa" w:w="2268"/>
          </w:tcPr>
          <w:p>
            <w:r>
              <w:rPr>
                <w:b/>
              </w:rPr>
              <w:t>Tabellkort och formelblad</w:t>
            </w:r>
          </w:p>
        </w:tc>
        <w:tc>
          <w:tcPr>
            <w:tcW w:type="dxa" w:w="4876"/>
          </w:tcPr>
          <w:p>
            <w:r>
              <w:t>När uppgiften gäller problemlösning och inte talfakta har eleven tillgång till multiplikationstabell, formelblad eller miniräknare. Då stoppar inte svag faktakunskap resonemanget.</w:t>
            </w:r>
          </w:p>
          <w:p>
            <w:r>
              <w:rPr>
                <w:i/>
                <w:color w:val="666666"/>
                <w:sz w:val="15"/>
              </w:rPr>
              <w:t>Källa: Beprövad praxis</w:t>
            </w:r>
          </w:p>
        </w:tc>
        <w:tc>
          <w:tcPr>
            <w:tcW w:type="dxa" w:w="3175"/>
          </w:tcPr>
          <w:p>
            <w:r>
              <w:t>Eleven har tillgång till tabellkort, formelblad eller miniräknare vid problemlösning.</w:t>
            </w:r>
          </w:p>
        </w:tc>
        <w:tc>
          <w:tcPr>
            <w:tcW w:type="dxa" w:w="2948"/>
          </w:tcPr>
          <w:p>
            <w:r>
              <w:t>Jämför elevens resultat på problemlösning med och utan stödet.</w:t>
            </w:r>
          </w:p>
        </w:tc>
        <w:tc>
          <w:tcPr>
            <w:tcW w:type="dxa" w:w="1191"/>
          </w:tcPr>
          <w:p>
            <w:r>
              <w:t>4–6, 7–9</w:t>
              <w:br/>
              <w:t>Beprövad</w:t>
            </w:r>
          </w:p>
        </w:tc>
      </w:tr>
      <w:tr>
        <w:tc>
          <w:tcPr>
            <w:tcW w:type="dxa" w:w="680"/>
          </w:tcPr>
          <w:p>
            <w:r>
              <w:t>MA09</w:t>
            </w:r>
          </w:p>
        </w:tc>
        <w:tc>
          <w:tcPr>
            <w:tcW w:type="dxa" w:w="2268"/>
          </w:tcPr>
          <w:p>
            <w:r>
              <w:rPr>
                <w:b/>
              </w:rPr>
              <w:t>Upplästa textuppgifter</w:t>
            </w:r>
          </w:p>
        </w:tc>
        <w:tc>
          <w:tcPr>
            <w:tcW w:type="dxa" w:w="4876"/>
          </w:tcPr>
          <w:p>
            <w:r>
              <w:t>Textuppgifter läses upp av en vuxen eller med talsyntes, så att lässvårigheter inte hindrar eleven från att visa sin matematik.</w:t>
            </w:r>
          </w:p>
          <w:p>
            <w:r>
              <w:rPr>
                <w:i/>
                <w:color w:val="666666"/>
                <w:sz w:val="15"/>
              </w:rPr>
              <w:t>Källa: Wood m.fl. 2018, närliggande; NCEO Report 402</w:t>
            </w:r>
          </w:p>
        </w:tc>
        <w:tc>
          <w:tcPr>
            <w:tcW w:type="dxa" w:w="3175"/>
          </w:tcPr>
          <w:p>
            <w:r>
              <w:t>Eleven får textuppgifter i matematik upplästa.</w:t>
            </w:r>
          </w:p>
        </w:tc>
        <w:tc>
          <w:tcPr>
            <w:tcW w:type="dxa" w:w="2948"/>
          </w:tcPr>
          <w:p>
            <w:r>
              <w:t>Jämför resultatet på textuppgifter med och utan uppläsning.</w:t>
            </w:r>
          </w:p>
        </w:tc>
        <w:tc>
          <w:tcPr>
            <w:tcW w:type="dxa" w:w="1191"/>
          </w:tcPr>
          <w:p>
            <w:r>
              <w:t>F–9</w:t>
              <w:br/>
              <w:t>Beprövad</w:t>
            </w:r>
          </w:p>
        </w:tc>
      </w:tr>
    </w:tbl>
    <w:p>
      <w:r>
        <w:br w:type="page"/>
      </w:r>
    </w:p>
    <w:p>
      <w:pPr>
        <w:pStyle w:val="Heading1"/>
      </w:pPr>
      <w:r>
        <w:rPr>
          <w:color w:val="0F766E"/>
        </w:rPr>
        <w:t>Språk och kommunikation</w:t>
      </w:r>
    </w:p>
    <w:p>
      <w:r>
        <w:rPr>
          <w:i/>
        </w:rPr>
        <w:t>För elever med språkstörning, elever som nyligen börjat lära sig svenska och elever som har svårt att tala i vissa situationer.</w:t>
      </w:r>
    </w:p>
    <w:tbl>
      <w:tblPr>
        <w:tblStyle w:val="TableGrid"/>
        <w:tblW w:type="auto" w:w="0"/>
        <w:jc w:val="center"/>
        <w:tblLook w:firstColumn="1" w:firstRow="1" w:lastColumn="0" w:lastRow="0" w:noHBand="0" w:noVBand="1" w:val="04A0"/>
      </w:tblPr>
      <w:tblGrid>
        <w:gridCol w:w="2523"/>
        <w:gridCol w:w="2523"/>
        <w:gridCol w:w="2523"/>
        <w:gridCol w:w="2523"/>
        <w:gridCol w:w="2523"/>
        <w:gridCol w:w="2523"/>
      </w:tblGrid>
      <w:tr>
        <w:trPr>
          <w:tblHeader w:val="true"/>
        </w:trPr>
        <w:tc>
          <w:tcPr>
            <w:tcW w:type="dxa" w:w="680"/>
            <w:shd w:val="clear" w:color="auto" w:fill="0F766E"/>
          </w:tcPr>
          <w:p>
            <w:r>
              <w:rPr>
                <w:b/>
                <w:color w:val="FFFFFF"/>
              </w:rPr>
              <w:t>Nr</w:t>
            </w:r>
          </w:p>
        </w:tc>
        <w:tc>
          <w:tcPr>
            <w:tcW w:type="dxa" w:w="2268"/>
            <w:shd w:val="clear" w:color="auto" w:fill="0F766E"/>
          </w:tcPr>
          <w:p>
            <w:r>
              <w:rPr>
                <w:b/>
                <w:color w:val="FFFFFF"/>
              </w:rPr>
              <w:t>Anpassning</w:t>
            </w:r>
          </w:p>
        </w:tc>
        <w:tc>
          <w:tcPr>
            <w:tcW w:type="dxa" w:w="4876"/>
            <w:shd w:val="clear" w:color="auto" w:fill="0F766E"/>
          </w:tcPr>
          <w:p>
            <w:r>
              <w:rPr>
                <w:b/>
                <w:color w:val="FFFFFF"/>
              </w:rPr>
              <w:t>Beskrivning</w:t>
            </w:r>
          </w:p>
        </w:tc>
        <w:tc>
          <w:tcPr>
            <w:tcW w:type="dxa" w:w="3175"/>
            <w:shd w:val="clear" w:color="auto" w:fill="0F766E"/>
          </w:tcPr>
          <w:p>
            <w:r>
              <w:rPr>
                <w:b/>
                <w:color w:val="FFFFFF"/>
              </w:rPr>
              <w:t>Formulering till dokumentation</w:t>
            </w:r>
          </w:p>
        </w:tc>
        <w:tc>
          <w:tcPr>
            <w:tcW w:type="dxa" w:w="2948"/>
            <w:shd w:val="clear" w:color="auto" w:fill="0F766E"/>
          </w:tcPr>
          <w:p>
            <w:r>
              <w:rPr>
                <w:b/>
                <w:color w:val="FFFFFF"/>
              </w:rPr>
              <w:t>Följ upp effekten</w:t>
            </w:r>
          </w:p>
        </w:tc>
        <w:tc>
          <w:tcPr>
            <w:tcW w:type="dxa" w:w="1191"/>
            <w:shd w:val="clear" w:color="auto" w:fill="0F766E"/>
          </w:tcPr>
          <w:p>
            <w:r>
              <w:rPr>
                <w:b/>
                <w:color w:val="FFFFFF"/>
              </w:rPr>
              <w:t>Stadium / evidens</w:t>
            </w:r>
          </w:p>
        </w:tc>
      </w:tr>
      <w:tr>
        <w:tc>
          <w:tcPr>
            <w:tcW w:type="dxa" w:w="680"/>
          </w:tcPr>
          <w:p>
            <w:r>
              <w:t>SP01</w:t>
            </w:r>
          </w:p>
        </w:tc>
        <w:tc>
          <w:tcPr>
            <w:tcW w:type="dxa" w:w="2268"/>
          </w:tcPr>
          <w:p>
            <w:r>
              <w:rPr>
                <w:b/>
              </w:rPr>
              <w:t>Bildstöd till det talade</w:t>
            </w:r>
          </w:p>
        </w:tc>
        <w:tc>
          <w:tcPr>
            <w:tcW w:type="dxa" w:w="4876"/>
          </w:tcPr>
          <w:p>
            <w:r>
              <w:t>Det läraren säger kompletteras med bilder, symboler, nyckelord eller tecken. Det gäller vid genomgångar, instruktioner och samtal.</w:t>
            </w:r>
          </w:p>
          <w:p>
            <w:r>
              <w:rPr>
                <w:i/>
                <w:color w:val="666666"/>
                <w:sz w:val="15"/>
              </w:rPr>
              <w:t>Källa: Steinbrenner m.fl. 2020 (visuellt stöd); Ebbels m.fl. 2019. Se även: Levla: Bild- och symbolstöd</w:t>
            </w:r>
          </w:p>
        </w:tc>
        <w:tc>
          <w:tcPr>
            <w:tcW w:type="dxa" w:w="3175"/>
          </w:tcPr>
          <w:p>
            <w:r>
              <w:t>Eleven får bild- och symbolstöd som komplement till muntlig information.</w:t>
            </w:r>
          </w:p>
        </w:tc>
        <w:tc>
          <w:tcPr>
            <w:tcW w:type="dxa" w:w="2948"/>
          </w:tcPr>
          <w:p>
            <w:r>
              <w:t>Notera hur ofta eleven förstår och följer instruktioner med och utan bildstöd.</w:t>
            </w:r>
          </w:p>
        </w:tc>
        <w:tc>
          <w:tcPr>
            <w:tcW w:type="dxa" w:w="1191"/>
          </w:tcPr>
          <w:p>
            <w:r>
              <w:t>F–9</w:t>
              <w:br/>
              <w:t>Måttlig</w:t>
            </w:r>
          </w:p>
        </w:tc>
      </w:tr>
      <w:tr>
        <w:tc>
          <w:tcPr>
            <w:tcW w:type="dxa" w:w="680"/>
          </w:tcPr>
          <w:p>
            <w:r>
              <w:t>SP02</w:t>
            </w:r>
          </w:p>
        </w:tc>
        <w:tc>
          <w:tcPr>
            <w:tcW w:type="dxa" w:w="2268"/>
          </w:tcPr>
          <w:p>
            <w:r>
              <w:rPr>
                <w:b/>
              </w:rPr>
              <w:t>Nyckelord i förväg</w:t>
            </w:r>
          </w:p>
        </w:tc>
        <w:tc>
          <w:tcPr>
            <w:tcW w:type="dxa" w:w="4876"/>
          </w:tcPr>
          <w:p>
            <w:r>
              <w:t>Eleven får arbetsområdets viktigaste ord med bild och förklaring innan området börjar. Några få ord i taget tränas intensivt under flera dagar.</w:t>
            </w:r>
          </w:p>
          <w:p>
            <w:r>
              <w:rPr>
                <w:i/>
                <w:color w:val="666666"/>
                <w:sz w:val="15"/>
              </w:rPr>
              <w:t>Källa: Baker m.fl. (WWC) 2014, rekommendation 1</w:t>
            </w:r>
          </w:p>
        </w:tc>
        <w:tc>
          <w:tcPr>
            <w:tcW w:type="dxa" w:w="3175"/>
          </w:tcPr>
          <w:p>
            <w:r>
              <w:t>Eleven får och tränar arbetsområdets nyckelord med bildstöd i förväg.</w:t>
            </w:r>
          </w:p>
        </w:tc>
        <w:tc>
          <w:tcPr>
            <w:tcW w:type="dxa" w:w="2948"/>
          </w:tcPr>
          <w:p>
            <w:r>
              <w:t>Kontrollera i slutet av varje vecka att eleven kan förklara veckans ord.</w:t>
            </w:r>
          </w:p>
        </w:tc>
        <w:tc>
          <w:tcPr>
            <w:tcW w:type="dxa" w:w="1191"/>
          </w:tcPr>
          <w:p>
            <w:r>
              <w:t>F–9</w:t>
              <w:br/>
              <w:t>Måttlig</w:t>
            </w:r>
          </w:p>
        </w:tc>
      </w:tr>
      <w:tr>
        <w:tc>
          <w:tcPr>
            <w:tcW w:type="dxa" w:w="680"/>
          </w:tcPr>
          <w:p>
            <w:r>
              <w:t>SP03</w:t>
            </w:r>
          </w:p>
        </w:tc>
        <w:tc>
          <w:tcPr>
            <w:tcW w:type="dxa" w:w="2268"/>
          </w:tcPr>
          <w:p>
            <w:r>
              <w:rPr>
                <w:b/>
              </w:rPr>
              <w:t>Studiehandledning på modersmålet</w:t>
            </w:r>
          </w:p>
        </w:tc>
        <w:tc>
          <w:tcPr>
            <w:tcW w:type="dxa" w:w="4876"/>
          </w:tcPr>
          <w:p>
            <w:r>
              <w:t>Eleven får studiehandledning på sitt starkaste språk kopplad till det som pågår i ämnesundervisningen. Studiehandledaren och läraren planerar tillsammans.</w:t>
            </w:r>
          </w:p>
          <w:p>
            <w:r>
              <w:rPr>
                <w:i/>
                <w:color w:val="666666"/>
                <w:sz w:val="15"/>
              </w:rPr>
              <w:t>Källa: Skolforskningsinstitutet 2018:02; skollagen</w:t>
            </w:r>
          </w:p>
        </w:tc>
        <w:tc>
          <w:tcPr>
            <w:tcW w:type="dxa" w:w="3175"/>
          </w:tcPr>
          <w:p>
            <w:r>
              <w:t>Eleven får studiehandledning på modersmålet kopplad till aktuellt ämnesinnehåll.</w:t>
            </w:r>
          </w:p>
        </w:tc>
        <w:tc>
          <w:tcPr>
            <w:tcW w:type="dxa" w:w="2948"/>
          </w:tcPr>
          <w:p>
            <w:r>
              <w:t>Stäm av med studiehandledaren varje månad hur eleven förstår ämnesinnehållet.</w:t>
            </w:r>
          </w:p>
        </w:tc>
        <w:tc>
          <w:tcPr>
            <w:tcW w:type="dxa" w:w="1191"/>
          </w:tcPr>
          <w:p>
            <w:r>
              <w:t>F–9</w:t>
              <w:br/>
              <w:t>Beprövad</w:t>
            </w:r>
          </w:p>
        </w:tc>
      </w:tr>
      <w:tr>
        <w:tc>
          <w:tcPr>
            <w:tcW w:type="dxa" w:w="680"/>
          </w:tcPr>
          <w:p>
            <w:r>
              <w:t>SP04</w:t>
            </w:r>
          </w:p>
        </w:tc>
        <w:tc>
          <w:tcPr>
            <w:tcW w:type="dxa" w:w="2268"/>
          </w:tcPr>
          <w:p>
            <w:r>
              <w:rPr>
                <w:b/>
              </w:rPr>
              <w:t>Tvåspråkiga ordlistor och översättning</w:t>
            </w:r>
          </w:p>
        </w:tc>
        <w:tc>
          <w:tcPr>
            <w:tcW w:type="dxa" w:w="4876"/>
          </w:tcPr>
          <w:p>
            <w:r>
              <w:t>Eleven har tillgång till tvåspråkiga ordlistor och digitala översättningsverktyg, och får använda dem även vid prov när det är svenska ord som hindrar, inte kunskaperna.</w:t>
            </w:r>
          </w:p>
          <w:p>
            <w:r>
              <w:rPr>
                <w:i/>
                <w:color w:val="666666"/>
                <w:sz w:val="15"/>
              </w:rPr>
              <w:t>Källa: Baker m.fl. (WWC) 2014, princip. Se även: Levla: Interkulturellt förhållningssätt</w:t>
            </w:r>
          </w:p>
        </w:tc>
        <w:tc>
          <w:tcPr>
            <w:tcW w:type="dxa" w:w="3175"/>
          </w:tcPr>
          <w:p>
            <w:r>
              <w:t>Eleven använder tvåspråkig ordlista och översättningsverktyg, även vid prov.</w:t>
            </w:r>
          </w:p>
        </w:tc>
        <w:tc>
          <w:tcPr>
            <w:tcW w:type="dxa" w:w="2948"/>
          </w:tcPr>
          <w:p>
            <w:r>
              <w:t>Jämför resultat på uppgifter med och utan stödet.</w:t>
            </w:r>
          </w:p>
        </w:tc>
        <w:tc>
          <w:tcPr>
            <w:tcW w:type="dxa" w:w="1191"/>
          </w:tcPr>
          <w:p>
            <w:r>
              <w:t>4–6, 7–9</w:t>
              <w:br/>
              <w:t>Beprövad</w:t>
            </w:r>
          </w:p>
        </w:tc>
      </w:tr>
      <w:tr>
        <w:tc>
          <w:tcPr>
            <w:tcW w:type="dxa" w:w="680"/>
          </w:tcPr>
          <w:p>
            <w:r>
              <w:t>SP05</w:t>
            </w:r>
          </w:p>
        </w:tc>
        <w:tc>
          <w:tcPr>
            <w:tcW w:type="dxa" w:w="2268"/>
          </w:tcPr>
          <w:p>
            <w:r>
              <w:rPr>
                <w:b/>
              </w:rPr>
              <w:t>Konkret språk</w:t>
            </w:r>
          </w:p>
        </w:tc>
        <w:tc>
          <w:tcPr>
            <w:tcW w:type="dxa" w:w="4876"/>
          </w:tcPr>
          <w:p>
            <w:r>
              <w:t>Läraren talar med eleven i korta, konkreta meningar och undviker ironi, bildspråk och vaga ord som ”snart” eller ”lite till”. Det läraren menar sägs rakt ut.</w:t>
            </w:r>
          </w:p>
          <w:p>
            <w:r>
              <w:rPr>
                <w:i/>
                <w:color w:val="666666"/>
                <w:sz w:val="15"/>
              </w:rPr>
              <w:t>Källa: SPSM 2026; Tipsbanken. Se även: Tipsbanken: Koncentration</w:t>
            </w:r>
          </w:p>
        </w:tc>
        <w:tc>
          <w:tcPr>
            <w:tcW w:type="dxa" w:w="3175"/>
          </w:tcPr>
          <w:p>
            <w:r>
              <w:t>Eleven får information och instruktioner i konkret språk utan ironi och bildspråk.</w:t>
            </w:r>
          </w:p>
        </w:tc>
        <w:tc>
          <w:tcPr>
            <w:tcW w:type="dxa" w:w="2948"/>
          </w:tcPr>
          <w:p>
            <w:r>
              <w:t>Notera antalet missförstånd i vardagssituationer, före och efter.</w:t>
            </w:r>
          </w:p>
        </w:tc>
        <w:tc>
          <w:tcPr>
            <w:tcW w:type="dxa" w:w="1191"/>
          </w:tcPr>
          <w:p>
            <w:r>
              <w:t>F–9</w:t>
              <w:br/>
              <w:t>Beprövad</w:t>
            </w:r>
          </w:p>
        </w:tc>
      </w:tr>
      <w:tr>
        <w:tc>
          <w:tcPr>
            <w:tcW w:type="dxa" w:w="680"/>
          </w:tcPr>
          <w:p>
            <w:r>
              <w:t>SP06</w:t>
            </w:r>
          </w:p>
        </w:tc>
        <w:tc>
          <w:tcPr>
            <w:tcW w:type="dxa" w:w="2268"/>
          </w:tcPr>
          <w:p>
            <w:r>
              <w:rPr>
                <w:b/>
              </w:rPr>
              <w:t>Betänketid och frågan i förväg</w:t>
            </w:r>
          </w:p>
        </w:tc>
        <w:tc>
          <w:tcPr>
            <w:tcW w:type="dxa" w:w="4876"/>
          </w:tcPr>
          <w:p>
            <w:r>
              <w:t>Läraren väntar några sekunder extra efter en fråga, innan någon får svara. Om eleven ska svara inför klassen får hen veta frågan en stund i förväg.</w:t>
            </w:r>
          </w:p>
          <w:p>
            <w:r>
              <w:rPr>
                <w:i/>
                <w:color w:val="666666"/>
                <w:sz w:val="15"/>
              </w:rPr>
              <w:t>Källa: Beprövad praxis; Ebbels m.fl. 2019</w:t>
            </w:r>
          </w:p>
        </w:tc>
        <w:tc>
          <w:tcPr>
            <w:tcW w:type="dxa" w:w="3175"/>
          </w:tcPr>
          <w:p>
            <w:r>
              <w:t>Eleven får förlängd betänketid och frågor i förväg inför muntliga svar.</w:t>
            </w:r>
          </w:p>
        </w:tc>
        <w:tc>
          <w:tcPr>
            <w:tcW w:type="dxa" w:w="2948"/>
          </w:tcPr>
          <w:p>
            <w:r>
              <w:t>Räkna hur ofta eleven svarar muntligt under en lektion, före och efter.</w:t>
            </w:r>
          </w:p>
        </w:tc>
        <w:tc>
          <w:tcPr>
            <w:tcW w:type="dxa" w:w="1191"/>
          </w:tcPr>
          <w:p>
            <w:r>
              <w:t>F–9</w:t>
              <w:br/>
              <w:t>Beprövad</w:t>
            </w:r>
          </w:p>
        </w:tc>
      </w:tr>
      <w:tr>
        <w:tc>
          <w:tcPr>
            <w:tcW w:type="dxa" w:w="680"/>
          </w:tcPr>
          <w:p>
            <w:r>
              <w:t>SP07</w:t>
            </w:r>
          </w:p>
        </w:tc>
        <w:tc>
          <w:tcPr>
            <w:tcW w:type="dxa" w:w="2268"/>
          </w:tcPr>
          <w:p>
            <w:r>
              <w:rPr>
                <w:b/>
              </w:rPr>
              <w:t>Svara utan att tala</w:t>
            </w:r>
          </w:p>
        </w:tc>
        <w:tc>
          <w:tcPr>
            <w:tcW w:type="dxa" w:w="4876"/>
          </w:tcPr>
          <w:p>
            <w:r>
              <w:t>En elev som inte kan tala i vissa situationer får svara på andra sätt: skriftligt, genom att peka, med ja- och nejfrågor eller med en inspelning. Gör om frågor till påståenden och förvänta dig inget svar. Pressa aldrig fram tal.</w:t>
            </w:r>
          </w:p>
          <w:p>
            <w:r>
              <w:rPr>
                <w:i/>
                <w:color w:val="666666"/>
                <w:sz w:val="15"/>
              </w:rPr>
              <w:t>Källa: Engström (red.) 2019 via Levla. Se även: Levla: Att möta tysta elever</w:t>
            </w:r>
          </w:p>
        </w:tc>
        <w:tc>
          <w:tcPr>
            <w:tcW w:type="dxa" w:w="3175"/>
          </w:tcPr>
          <w:p>
            <w:r>
              <w:t>Eleven får visa sina kunskaper utan att tala inför andra, skriftligt eller via inspelning.</w:t>
            </w:r>
          </w:p>
        </w:tc>
        <w:tc>
          <w:tcPr>
            <w:tcW w:type="dxa" w:w="2948"/>
          </w:tcPr>
          <w:p>
            <w:r>
              <w:t>Följ hur eleven deltar i kommunikationen och om hen tar egna initiativ, och stäm av med elevhälsan.</w:t>
            </w:r>
          </w:p>
        </w:tc>
        <w:tc>
          <w:tcPr>
            <w:tcW w:type="dxa" w:w="1191"/>
          </w:tcPr>
          <w:p>
            <w:r>
              <w:t>F–9</w:t>
              <w:br/>
              <w:t>Beprövad</w:t>
            </w:r>
          </w:p>
        </w:tc>
      </w:tr>
      <w:tr>
        <w:tc>
          <w:tcPr>
            <w:tcW w:type="dxa" w:w="680"/>
          </w:tcPr>
          <w:p>
            <w:r>
              <w:t>SP08</w:t>
            </w:r>
          </w:p>
        </w:tc>
        <w:tc>
          <w:tcPr>
            <w:tcW w:type="dxa" w:w="2268"/>
          </w:tcPr>
          <w:p>
            <w:r>
              <w:rPr>
                <w:b/>
              </w:rPr>
              <w:t>Rita samtalet</w:t>
            </w:r>
          </w:p>
        </w:tc>
        <w:tc>
          <w:tcPr>
            <w:tcW w:type="dxa" w:w="4876"/>
          </w:tcPr>
          <w:p>
            <w:r>
              <w:t>När något har hänt eller ska redas ut ritar den vuxna och eleven händelsen tillsammans, med enkla figurer och pratbubblor. Det gör samtalet konkret och lättare att följa.</w:t>
            </w:r>
          </w:p>
          <w:p>
            <w:r>
              <w:rPr>
                <w:i/>
                <w:color w:val="666666"/>
                <w:sz w:val="15"/>
              </w:rPr>
              <w:t>Källa: Beprövad praxis. Se även: Levla: Seriesamtal och ritprat</w:t>
            </w:r>
          </w:p>
        </w:tc>
        <w:tc>
          <w:tcPr>
            <w:tcW w:type="dxa" w:w="3175"/>
          </w:tcPr>
          <w:p>
            <w:r>
              <w:t>Eleven får stöd av ritade samtal (seriesamtal) vid samtal om händelser.</w:t>
            </w:r>
          </w:p>
        </w:tc>
        <w:tc>
          <w:tcPr>
            <w:tcW w:type="dxa" w:w="2948"/>
          </w:tcPr>
          <w:p>
            <w:r>
              <w:t>Notera om eleven kan beskriva vad som hände och vad hen kan göra nästa gång.</w:t>
            </w:r>
          </w:p>
        </w:tc>
        <w:tc>
          <w:tcPr>
            <w:tcW w:type="dxa" w:w="1191"/>
          </w:tcPr>
          <w:p>
            <w:r>
              <w:t>F–3, 4–6</w:t>
              <w:br/>
              <w:t>Beprövad</w:t>
            </w:r>
          </w:p>
        </w:tc>
      </w:tr>
    </w:tbl>
    <w:p>
      <w:r>
        <w:br w:type="page"/>
      </w:r>
    </w:p>
    <w:p>
      <w:pPr>
        <w:pStyle w:val="Heading1"/>
      </w:pPr>
      <w:r>
        <w:rPr>
          <w:color w:val="B42318"/>
        </w:rPr>
        <w:t>Känsloreglering och beteende</w:t>
      </w:r>
    </w:p>
    <w:p>
      <w:r>
        <w:rPr>
          <w:i/>
        </w:rPr>
        <w:t>För elever som lätt blir frustrerade, hamnar i konflikter, vägrar eller får utbrott. Förebygg först, lär ut nya beteenden sedan.</w:t>
      </w:r>
    </w:p>
    <w:tbl>
      <w:tblPr>
        <w:tblStyle w:val="TableGrid"/>
        <w:tblW w:type="auto" w:w="0"/>
        <w:jc w:val="center"/>
        <w:tblLook w:firstColumn="1" w:firstRow="1" w:lastColumn="0" w:lastRow="0" w:noHBand="0" w:noVBand="1" w:val="04A0"/>
      </w:tblPr>
      <w:tblGrid>
        <w:gridCol w:w="2523"/>
        <w:gridCol w:w="2523"/>
        <w:gridCol w:w="2523"/>
        <w:gridCol w:w="2523"/>
        <w:gridCol w:w="2523"/>
        <w:gridCol w:w="2523"/>
      </w:tblGrid>
      <w:tr>
        <w:trPr>
          <w:tblHeader w:val="true"/>
        </w:trPr>
        <w:tc>
          <w:tcPr>
            <w:tcW w:type="dxa" w:w="680"/>
            <w:shd w:val="clear" w:color="auto" w:fill="B42318"/>
          </w:tcPr>
          <w:p>
            <w:r>
              <w:rPr>
                <w:b/>
                <w:color w:val="FFFFFF"/>
              </w:rPr>
              <w:t>Nr</w:t>
            </w:r>
          </w:p>
        </w:tc>
        <w:tc>
          <w:tcPr>
            <w:tcW w:type="dxa" w:w="2268"/>
            <w:shd w:val="clear" w:color="auto" w:fill="B42318"/>
          </w:tcPr>
          <w:p>
            <w:r>
              <w:rPr>
                <w:b/>
                <w:color w:val="FFFFFF"/>
              </w:rPr>
              <w:t>Anpassning</w:t>
            </w:r>
          </w:p>
        </w:tc>
        <w:tc>
          <w:tcPr>
            <w:tcW w:type="dxa" w:w="4876"/>
            <w:shd w:val="clear" w:color="auto" w:fill="B42318"/>
          </w:tcPr>
          <w:p>
            <w:r>
              <w:rPr>
                <w:b/>
                <w:color w:val="FFFFFF"/>
              </w:rPr>
              <w:t>Beskrivning</w:t>
            </w:r>
          </w:p>
        </w:tc>
        <w:tc>
          <w:tcPr>
            <w:tcW w:type="dxa" w:w="3175"/>
            <w:shd w:val="clear" w:color="auto" w:fill="B42318"/>
          </w:tcPr>
          <w:p>
            <w:r>
              <w:rPr>
                <w:b/>
                <w:color w:val="FFFFFF"/>
              </w:rPr>
              <w:t>Formulering till dokumentation</w:t>
            </w:r>
          </w:p>
        </w:tc>
        <w:tc>
          <w:tcPr>
            <w:tcW w:type="dxa" w:w="2948"/>
            <w:shd w:val="clear" w:color="auto" w:fill="B42318"/>
          </w:tcPr>
          <w:p>
            <w:r>
              <w:rPr>
                <w:b/>
                <w:color w:val="FFFFFF"/>
              </w:rPr>
              <w:t>Följ upp effekten</w:t>
            </w:r>
          </w:p>
        </w:tc>
        <w:tc>
          <w:tcPr>
            <w:tcW w:type="dxa" w:w="1191"/>
            <w:shd w:val="clear" w:color="auto" w:fill="B42318"/>
          </w:tcPr>
          <w:p>
            <w:r>
              <w:rPr>
                <w:b/>
                <w:color w:val="FFFFFF"/>
              </w:rPr>
              <w:t>Stadium / evidens</w:t>
            </w:r>
          </w:p>
        </w:tc>
      </w:tr>
      <w:tr>
        <w:tc>
          <w:tcPr>
            <w:tcW w:type="dxa" w:w="680"/>
          </w:tcPr>
          <w:p>
            <w:r>
              <w:t>KR01</w:t>
            </w:r>
          </w:p>
        </w:tc>
        <w:tc>
          <w:tcPr>
            <w:tcW w:type="dxa" w:w="2268"/>
          </w:tcPr>
          <w:p>
            <w:r>
              <w:rPr>
                <w:b/>
              </w:rPr>
              <w:t>Ligga steget före</w:t>
            </w:r>
          </w:p>
        </w:tc>
        <w:tc>
          <w:tcPr>
            <w:tcW w:type="dxa" w:w="4876"/>
          </w:tcPr>
          <w:p>
            <w:r>
              <w:t>Utifrån en kartläggning av när det brukar gå fel ändrar läraren det som utlöser svårigheterna, till exempel krav, placering, gruppering eller övergångar, innan problemet uppstår. Inför svåra situationer gör eleven och läraren en plan tillsammans.</w:t>
            </w:r>
          </w:p>
          <w:p>
            <w:r>
              <w:rPr>
                <w:i/>
                <w:color w:val="666666"/>
                <w:sz w:val="15"/>
              </w:rPr>
              <w:t>Källa: Epstein m.fl. (WWC) 2008, rekommendation 2. Se även: Levla: Ligga steget före, Observationer; Tipsbanken: Känslor</w:t>
            </w:r>
          </w:p>
        </w:tc>
        <w:tc>
          <w:tcPr>
            <w:tcW w:type="dxa" w:w="3175"/>
          </w:tcPr>
          <w:p>
            <w:r>
              <w:t>Elevens kända svåra situationer förebyggs med förändrade krav, placering eller förberedelse.</w:t>
            </w:r>
          </w:p>
        </w:tc>
        <w:tc>
          <w:tcPr>
            <w:tcW w:type="dxa" w:w="2948"/>
          </w:tcPr>
          <w:p>
            <w:r>
              <w:t>Räkna antalet konflikter eller utbrott per vecka under fyra veckor före och efter.</w:t>
            </w:r>
          </w:p>
        </w:tc>
        <w:tc>
          <w:tcPr>
            <w:tcW w:type="dxa" w:w="1191"/>
          </w:tcPr>
          <w:p>
            <w:r>
              <w:t>F–9</w:t>
              <w:br/>
              <w:t>Stark</w:t>
            </w:r>
          </w:p>
        </w:tc>
      </w:tr>
      <w:tr>
        <w:tc>
          <w:tcPr>
            <w:tcW w:type="dxa" w:w="680"/>
          </w:tcPr>
          <w:p>
            <w:r>
              <w:t>KR02</w:t>
            </w:r>
          </w:p>
        </w:tc>
        <w:tc>
          <w:tcPr>
            <w:tcW w:type="dxa" w:w="2268"/>
          </w:tcPr>
          <w:p>
            <w:r>
              <w:rPr>
                <w:b/>
              </w:rPr>
              <w:t>Daglig målkort</w:t>
            </w:r>
          </w:p>
        </w:tc>
        <w:tc>
          <w:tcPr>
            <w:tcW w:type="dxa" w:w="4876"/>
          </w:tcPr>
          <w:p>
            <w:r>
              <w:t>Eleven har två eller tre konkreta mål, till exempel ”börjar arbeta inom två minuter”. Läraren skattar målen kort efter varje lektion. Kortet går hem varje dag och vårdnadshavarna uppmärksammar det som gått bra.</w:t>
            </w:r>
          </w:p>
          <w:p>
            <w:r>
              <w:rPr>
                <w:i/>
                <w:color w:val="666666"/>
                <w:sz w:val="15"/>
              </w:rPr>
              <w:t>Källa: Vannest m.fl. 2010 (metaanalys); EEF 2019</w:t>
            </w:r>
          </w:p>
        </w:tc>
        <w:tc>
          <w:tcPr>
            <w:tcW w:type="dxa" w:w="3175"/>
          </w:tcPr>
          <w:p>
            <w:r>
              <w:t>Eleven har dagligt målkort med 2–3 konkreta beteendemål som återkopplas i skolan och hemma.</w:t>
            </w:r>
          </w:p>
        </w:tc>
        <w:tc>
          <w:tcPr>
            <w:tcW w:type="dxa" w:w="2948"/>
          </w:tcPr>
          <w:p>
            <w:r>
              <w:t>Följ andelen uppnådda mål per dag i ett diagram. Byt mål när eleven klarar dem stabilt.</w:t>
            </w:r>
          </w:p>
        </w:tc>
        <w:tc>
          <w:tcPr>
            <w:tcW w:type="dxa" w:w="1191"/>
          </w:tcPr>
          <w:p>
            <w:r>
              <w:t>F–9</w:t>
              <w:br/>
              <w:t>Stark</w:t>
            </w:r>
          </w:p>
        </w:tc>
      </w:tr>
      <w:tr>
        <w:tc>
          <w:tcPr>
            <w:tcW w:type="dxa" w:w="680"/>
          </w:tcPr>
          <w:p>
            <w:r>
              <w:t>KR03</w:t>
            </w:r>
          </w:p>
        </w:tc>
        <w:tc>
          <w:tcPr>
            <w:tcW w:type="dxa" w:w="2268"/>
          </w:tcPr>
          <w:p>
            <w:r>
              <w:rPr>
                <w:b/>
              </w:rPr>
              <w:t>Beröm det du vill se</w:t>
            </w:r>
          </w:p>
        </w:tc>
        <w:tc>
          <w:tcPr>
            <w:tcW w:type="dxa" w:w="4876"/>
          </w:tcPr>
          <w:p>
            <w:r>
              <w:t>Läraren berömmer konkret och direkt det beteende som ska öka, till exempel ”du började direkt, bra!”, och ser till att det positiva klart överväger tillsägelserna. För äldre elever ges berömmet gärna diskret.</w:t>
            </w:r>
          </w:p>
          <w:p>
            <w:r>
              <w:rPr>
                <w:i/>
                <w:color w:val="666666"/>
                <w:sz w:val="15"/>
              </w:rPr>
              <w:t>Källa: Royer m.fl. 2019 (systematisk översikt). Se även: Levla: Positiv förstärkning</w:t>
            </w:r>
          </w:p>
        </w:tc>
        <w:tc>
          <w:tcPr>
            <w:tcW w:type="dxa" w:w="3175"/>
          </w:tcPr>
          <w:p>
            <w:r>
              <w:t>Eleven får tät, beteendespecifik positiv återkoppling.</w:t>
            </w:r>
          </w:p>
        </w:tc>
        <w:tc>
          <w:tcPr>
            <w:tcW w:type="dxa" w:w="2948"/>
          </w:tcPr>
          <w:p>
            <w:r>
              <w:t>Räkna under en lektion i veckan förhållandet mellan positiva kommentarer och tillsägelser, och notera elevens tid i uppgift.</w:t>
            </w:r>
          </w:p>
        </w:tc>
        <w:tc>
          <w:tcPr>
            <w:tcW w:type="dxa" w:w="1191"/>
          </w:tcPr>
          <w:p>
            <w:r>
              <w:t>F–9</w:t>
              <w:br/>
              <w:t>Måttlig</w:t>
            </w:r>
          </w:p>
        </w:tc>
      </w:tr>
      <w:tr>
        <w:tc>
          <w:tcPr>
            <w:tcW w:type="dxa" w:w="680"/>
          </w:tcPr>
          <w:p>
            <w:r>
              <w:t>KR04</w:t>
            </w:r>
          </w:p>
        </w:tc>
        <w:tc>
          <w:tcPr>
            <w:tcW w:type="dxa" w:w="2268"/>
          </w:tcPr>
          <w:p>
            <w:r>
              <w:rPr>
                <w:b/>
              </w:rPr>
              <w:t>Lär ut det nya beteendet</w:t>
            </w:r>
          </w:p>
        </w:tc>
        <w:tc>
          <w:tcPr>
            <w:tcW w:type="dxa" w:w="4876"/>
          </w:tcPr>
          <w:p>
            <w:r>
              <w:t>I stället för att bara stoppa ett problembeteende lär läraren ut vad eleven ska göra i stället, till exempel att be om paus, vänta på sin tur eller säga ifrån. Beteendet visas, övas i lugnt läge och förstärks när det används.</w:t>
            </w:r>
          </w:p>
          <w:p>
            <w:r>
              <w:rPr>
                <w:i/>
                <w:color w:val="666666"/>
                <w:sz w:val="15"/>
              </w:rPr>
              <w:t>Källa: Epstein m.fl. (WWC) 2008, rekommendation 3. Se även: Tipsbanken: Koncentration (färdighetsträning)</w:t>
            </w:r>
          </w:p>
        </w:tc>
        <w:tc>
          <w:tcPr>
            <w:tcW w:type="dxa" w:w="3175"/>
          </w:tcPr>
          <w:p>
            <w:r>
              <w:t>Eleven tränar ett konkret ersättningsbeteende, som förstärks när det används.</w:t>
            </w:r>
          </w:p>
        </w:tc>
        <w:tc>
          <w:tcPr>
            <w:tcW w:type="dxa" w:w="2948"/>
          </w:tcPr>
          <w:p>
            <w:r>
              <w:t>Räkna hur ofta eleven använder det nya beteendet och hur ofta det gamla förekommer.</w:t>
            </w:r>
          </w:p>
        </w:tc>
        <w:tc>
          <w:tcPr>
            <w:tcW w:type="dxa" w:w="1191"/>
          </w:tcPr>
          <w:p>
            <w:r>
              <w:t>F–9</w:t>
              <w:br/>
              <w:t>Stark</w:t>
            </w:r>
          </w:p>
        </w:tc>
      </w:tr>
      <w:tr>
        <w:tc>
          <w:tcPr>
            <w:tcW w:type="dxa" w:w="680"/>
          </w:tcPr>
          <w:p>
            <w:r>
              <w:t>KR05</w:t>
            </w:r>
          </w:p>
        </w:tc>
        <w:tc>
          <w:tcPr>
            <w:tcW w:type="dxa" w:w="2268"/>
          </w:tcPr>
          <w:p>
            <w:r>
              <w:rPr>
                <w:b/>
              </w:rPr>
              <w:t>Plan för när det blir för mycket</w:t>
            </w:r>
          </w:p>
        </w:tc>
        <w:tc>
          <w:tcPr>
            <w:tcW w:type="dxa" w:w="4876"/>
          </w:tcPr>
          <w:p>
            <w:r>
              <w:t>Eleven och läraren gör i lugnt läge en skriftlig plan för vad eleven gör när känslorna tar över: tidiga tecken, vad eleven gör, vart hen går och vem som kommer. Planen är känd av all personal som möter eleven.</w:t>
            </w:r>
          </w:p>
          <w:p>
            <w:r>
              <w:rPr>
                <w:i/>
                <w:color w:val="666666"/>
                <w:sz w:val="15"/>
              </w:rPr>
              <w:t>Källa: Beprövad praxis; Epstein m.fl. (WWC) 2008, princip. Se även: Tipsbanken: Känslor</w:t>
            </w:r>
          </w:p>
        </w:tc>
        <w:tc>
          <w:tcPr>
            <w:tcW w:type="dxa" w:w="3175"/>
          </w:tcPr>
          <w:p>
            <w:r>
              <w:t>Eleven har en skriftlig plan för vad hen gör vid stark affekt, känd av berörd personal.</w:t>
            </w:r>
          </w:p>
        </w:tc>
        <w:tc>
          <w:tcPr>
            <w:tcW w:type="dxa" w:w="2948"/>
          </w:tcPr>
          <w:p>
            <w:r>
              <w:t>Följ hur ofta planen används och hur lång tid det tar innan eleven är tillbaka i arbete.</w:t>
            </w:r>
          </w:p>
        </w:tc>
        <w:tc>
          <w:tcPr>
            <w:tcW w:type="dxa" w:w="1191"/>
          </w:tcPr>
          <w:p>
            <w:r>
              <w:t>F–9</w:t>
              <w:br/>
              <w:t>Beprövad</w:t>
            </w:r>
          </w:p>
        </w:tc>
      </w:tr>
      <w:tr>
        <w:tc>
          <w:tcPr>
            <w:tcW w:type="dxa" w:w="680"/>
          </w:tcPr>
          <w:p>
            <w:r>
              <w:t>KR06</w:t>
            </w:r>
          </w:p>
        </w:tc>
        <w:tc>
          <w:tcPr>
            <w:tcW w:type="dxa" w:w="2268"/>
          </w:tcPr>
          <w:p>
            <w:r>
              <w:rPr>
                <w:b/>
              </w:rPr>
              <w:t>Pauskort</w:t>
            </w:r>
          </w:p>
        </w:tc>
        <w:tc>
          <w:tcPr>
            <w:tcW w:type="dxa" w:w="4876"/>
          </w:tcPr>
          <w:p>
            <w:r>
              <w:t>Eleven har ett kort eller en signal som betyder ”jag behöver gå ut en stund” och en bestämd plats att gå till under en bestämd tid. Pausen är ett verktyg och varken belöning eller straff, och eleven vet vad hen gör när hen kommer tillbaka.</w:t>
            </w:r>
          </w:p>
          <w:p>
            <w:r>
              <w:rPr>
                <w:i/>
                <w:color w:val="666666"/>
                <w:sz w:val="15"/>
              </w:rPr>
              <w:t>Källa: SPSM 2026; Tipsbanken. Se även: Tipsbanken: Känslor; Levla: Lågaffektivt bemötande</w:t>
            </w:r>
          </w:p>
        </w:tc>
        <w:tc>
          <w:tcPr>
            <w:tcW w:type="dxa" w:w="3175"/>
          </w:tcPr>
          <w:p>
            <w:r>
              <w:t>Eleven kan med en överenskommen signal ta en kort paus på en bestämd plats.</w:t>
            </w:r>
          </w:p>
        </w:tc>
        <w:tc>
          <w:tcPr>
            <w:tcW w:type="dxa" w:w="2948"/>
          </w:tcPr>
          <w:p>
            <w:r>
              <w:t>Följ antalet pauser per dag och om utbrotten blir färre. Se till att pausen inte blir ett sätt att undvika uppgifter.</w:t>
            </w:r>
          </w:p>
        </w:tc>
        <w:tc>
          <w:tcPr>
            <w:tcW w:type="dxa" w:w="1191"/>
          </w:tcPr>
          <w:p>
            <w:r>
              <w:t>F–9</w:t>
              <w:br/>
              <w:t>Beprövad</w:t>
            </w:r>
          </w:p>
        </w:tc>
      </w:tr>
      <w:tr>
        <w:tc>
          <w:tcPr>
            <w:tcW w:type="dxa" w:w="680"/>
          </w:tcPr>
          <w:p>
            <w:r>
              <w:t>KR07</w:t>
            </w:r>
          </w:p>
        </w:tc>
        <w:tc>
          <w:tcPr>
            <w:tcW w:type="dxa" w:w="2268"/>
          </w:tcPr>
          <w:p>
            <w:r>
              <w:rPr>
                <w:b/>
              </w:rPr>
              <w:t>Lågaffektivt bemötande</w:t>
            </w:r>
          </w:p>
        </w:tc>
        <w:tc>
          <w:tcPr>
            <w:tcW w:type="dxa" w:w="4876"/>
          </w:tcPr>
          <w:p>
            <w:r>
              <w:t>När eleven är upprörd sänker den vuxna sin egen affekt: lugn röst, få ord, inte för nära och ingen ögonkontakt som utmanar. Upprepade uppmaningar görs i samma tonläge, utan att trappas upp. Uppföljningen sker senare i lugnt läge.</w:t>
            </w:r>
          </w:p>
          <w:p>
            <w:r>
              <w:rPr>
                <w:i/>
                <w:color w:val="666666"/>
                <w:sz w:val="15"/>
              </w:rPr>
              <w:t>Källa: Hejlskov Elvén, via Levla (beprövad praxis). Se även: Levla: Lågaffektivt bemötande, Snooze</w:t>
            </w:r>
          </w:p>
        </w:tc>
        <w:tc>
          <w:tcPr>
            <w:tcW w:type="dxa" w:w="3175"/>
          </w:tcPr>
          <w:p>
            <w:r>
              <w:t>Personalen använder ett lågaffektivt bemötande när eleven är upprörd.</w:t>
            </w:r>
          </w:p>
        </w:tc>
        <w:tc>
          <w:tcPr>
            <w:tcW w:type="dxa" w:w="2948"/>
          </w:tcPr>
          <w:p>
            <w:r>
              <w:t>Följ hur lång tid utbrotten varar och hur ofta de trappas upp.</w:t>
            </w:r>
          </w:p>
        </w:tc>
        <w:tc>
          <w:tcPr>
            <w:tcW w:type="dxa" w:w="1191"/>
          </w:tcPr>
          <w:p>
            <w:r>
              <w:t>F–9</w:t>
              <w:br/>
              <w:t>Beprövad</w:t>
            </w:r>
          </w:p>
        </w:tc>
      </w:tr>
      <w:tr>
        <w:tc>
          <w:tcPr>
            <w:tcW w:type="dxa" w:w="680"/>
          </w:tcPr>
          <w:p>
            <w:r>
              <w:t>KR08</w:t>
            </w:r>
          </w:p>
        </w:tc>
        <w:tc>
          <w:tcPr>
            <w:tcW w:type="dxa" w:w="2268"/>
          </w:tcPr>
          <w:p>
            <w:r>
              <w:rPr>
                <w:b/>
              </w:rPr>
              <w:t>Känsloskala</w:t>
            </w:r>
          </w:p>
        </w:tc>
        <w:tc>
          <w:tcPr>
            <w:tcW w:type="dxa" w:w="4876"/>
          </w:tcPr>
          <w:p>
            <w:r>
              <w:t>Eleven och läraren gör tillsammans en skala, till exempel 1–5, där varje nivå beskriver hur det känns och vad eleven kan göra. Skalan används för att stämma av och för att tidigt se när det håller på att bli för mycket.</w:t>
            </w:r>
          </w:p>
          <w:p>
            <w:r>
              <w:rPr>
                <w:i/>
                <w:color w:val="666666"/>
                <w:sz w:val="15"/>
              </w:rPr>
              <w:t>Källa: Beprövad praxis. Se även: Levla: Kommunikationsskalor; Tipsbanken: Känslor (affekttermometer)</w:t>
            </w:r>
          </w:p>
        </w:tc>
        <w:tc>
          <w:tcPr>
            <w:tcW w:type="dxa" w:w="3175"/>
          </w:tcPr>
          <w:p>
            <w:r>
              <w:t>Eleven använder en gemensamt framtagen känsloskala med strategier kopplade till varje nivå.</w:t>
            </w:r>
          </w:p>
        </w:tc>
        <w:tc>
          <w:tcPr>
            <w:tcW w:type="dxa" w:w="2948"/>
          </w:tcPr>
          <w:p>
            <w:r>
              <w:t>Notera hur ofta eleven själv signalerar en hög nivå innan ett utbrott, och om utbrotten minskar.</w:t>
            </w:r>
          </w:p>
        </w:tc>
        <w:tc>
          <w:tcPr>
            <w:tcW w:type="dxa" w:w="1191"/>
          </w:tcPr>
          <w:p>
            <w:r>
              <w:t>F–9</w:t>
              <w:br/>
              <w:t>Beprövad</w:t>
            </w:r>
          </w:p>
        </w:tc>
      </w:tr>
      <w:tr>
        <w:tc>
          <w:tcPr>
            <w:tcW w:type="dxa" w:w="680"/>
          </w:tcPr>
          <w:p>
            <w:r>
              <w:t>KR09</w:t>
            </w:r>
          </w:p>
        </w:tc>
        <w:tc>
          <w:tcPr>
            <w:tcW w:type="dxa" w:w="2268"/>
          </w:tcPr>
          <w:p>
            <w:r>
              <w:rPr>
                <w:b/>
              </w:rPr>
              <w:t>Poäng mot mål</w:t>
            </w:r>
          </w:p>
        </w:tc>
        <w:tc>
          <w:tcPr>
            <w:tcW w:type="dxa" w:w="4876"/>
          </w:tcPr>
          <w:p>
            <w:r>
              <w:t>Eleven samlar poäng för ett tydligt definierat beteende och kan växla in dem mot något hen själv valt, till exempel en aktivitet. Systemet är enkelt, poängen tas aldrig bort, och belöningen glesas ut när beteendet blivit stabilt.</w:t>
            </w:r>
          </w:p>
          <w:p>
            <w:r>
              <w:rPr>
                <w:i/>
                <w:color w:val="666666"/>
                <w:sz w:val="15"/>
              </w:rPr>
              <w:t>Källa: Gaastra m.fl. 2016; Soares m.fl. 2016. Se även: Levla: Motivation, Positiv förstärkning</w:t>
            </w:r>
          </w:p>
        </w:tc>
        <w:tc>
          <w:tcPr>
            <w:tcW w:type="dxa" w:w="3175"/>
          </w:tcPr>
          <w:p>
            <w:r>
              <w:t>Eleven har ett förstärkningssystem med poäng för ett definierat målbeteende.</w:t>
            </w:r>
          </w:p>
        </w:tc>
        <w:tc>
          <w:tcPr>
            <w:tcW w:type="dxa" w:w="2948"/>
          </w:tcPr>
          <w:p>
            <w:r>
              <w:t>Följ hur ofta målbeteendet förekommer per dag och planera för att trappa ned systemet.</w:t>
            </w:r>
          </w:p>
        </w:tc>
        <w:tc>
          <w:tcPr>
            <w:tcW w:type="dxa" w:w="1191"/>
          </w:tcPr>
          <w:p>
            <w:r>
              <w:t>F–3, 4–6</w:t>
              <w:br/>
              <w:t>Måttlig</w:t>
            </w:r>
          </w:p>
        </w:tc>
      </w:tr>
      <w:tr>
        <w:tc>
          <w:tcPr>
            <w:tcW w:type="dxa" w:w="680"/>
          </w:tcPr>
          <w:p>
            <w:r>
              <w:t>KR10</w:t>
            </w:r>
          </w:p>
        </w:tc>
        <w:tc>
          <w:tcPr>
            <w:tcW w:type="dxa" w:w="2268"/>
          </w:tcPr>
          <w:p>
            <w:r>
              <w:rPr>
                <w:b/>
              </w:rPr>
              <w:t>Lösa problemet tillsammans</w:t>
            </w:r>
          </w:p>
        </w:tc>
        <w:tc>
          <w:tcPr>
            <w:tcW w:type="dxa" w:w="4876"/>
          </w:tcPr>
          <w:p>
            <w:r>
              <w:t>I lugnt läge undersöker den vuxna och eleven en återkommande svår situation: vad är svårt för eleven, vad är viktigt för den vuxna, och vilken lösning fungerar för båda? Lösningen prövas och följs upp.</w:t>
            </w:r>
          </w:p>
          <w:p>
            <w:r>
              <w:rPr>
                <w:i/>
                <w:color w:val="666666"/>
                <w:sz w:val="15"/>
              </w:rPr>
              <w:t>Källa: Greene (CPS), via Levla (beprövad praxis). Se även: Levla: Samarbetsbaserad problemlösning (CPS), Lösningsinriktad pedagogik</w:t>
            </w:r>
          </w:p>
        </w:tc>
        <w:tc>
          <w:tcPr>
            <w:tcW w:type="dxa" w:w="3175"/>
          </w:tcPr>
          <w:p>
            <w:r>
              <w:t>Eleven och läraren tar fram lösningar på återkommande svårigheter i samarbetsbaserade samtal.</w:t>
            </w:r>
          </w:p>
        </w:tc>
        <w:tc>
          <w:tcPr>
            <w:tcW w:type="dxa" w:w="2948"/>
          </w:tcPr>
          <w:p>
            <w:r>
              <w:t>Följ upp den överenskomna lösningen efter två veckor: fungerar den, eller behövs en ny?</w:t>
            </w:r>
          </w:p>
        </w:tc>
        <w:tc>
          <w:tcPr>
            <w:tcW w:type="dxa" w:w="1191"/>
          </w:tcPr>
          <w:p>
            <w:r>
              <w:t>4–6, 7–9</w:t>
              <w:br/>
              <w:t>Beprövad</w:t>
            </w:r>
          </w:p>
        </w:tc>
      </w:tr>
    </w:tbl>
    <w:p>
      <w:r>
        <w:br w:type="page"/>
      </w:r>
    </w:p>
    <w:p>
      <w:pPr>
        <w:pStyle w:val="Heading1"/>
      </w:pPr>
      <w:r>
        <w:rPr>
          <w:color w:val="8A6A00"/>
        </w:rPr>
        <w:t>Socialt samspel och raster</w:t>
      </w:r>
    </w:p>
    <w:p>
      <w:r>
        <w:rPr>
          <w:i/>
        </w:rPr>
        <w:t>För elever som har svårt i fria situationer, grupparbeten, lek och raster.</w:t>
      </w:r>
    </w:p>
    <w:tbl>
      <w:tblPr>
        <w:tblStyle w:val="TableGrid"/>
        <w:tblW w:type="auto" w:w="0"/>
        <w:jc w:val="center"/>
        <w:tblLook w:firstColumn="1" w:firstRow="1" w:lastColumn="0" w:lastRow="0" w:noHBand="0" w:noVBand="1" w:val="04A0"/>
      </w:tblPr>
      <w:tblGrid>
        <w:gridCol w:w="2523"/>
        <w:gridCol w:w="2523"/>
        <w:gridCol w:w="2523"/>
        <w:gridCol w:w="2523"/>
        <w:gridCol w:w="2523"/>
        <w:gridCol w:w="2523"/>
      </w:tblGrid>
      <w:tr>
        <w:trPr>
          <w:tblHeader w:val="true"/>
        </w:trPr>
        <w:tc>
          <w:tcPr>
            <w:tcW w:type="dxa" w:w="680"/>
            <w:shd w:val="clear" w:color="auto" w:fill="8A6A00"/>
          </w:tcPr>
          <w:p>
            <w:r>
              <w:rPr>
                <w:b/>
                <w:color w:val="FFFFFF"/>
              </w:rPr>
              <w:t>Nr</w:t>
            </w:r>
          </w:p>
        </w:tc>
        <w:tc>
          <w:tcPr>
            <w:tcW w:type="dxa" w:w="2268"/>
            <w:shd w:val="clear" w:color="auto" w:fill="8A6A00"/>
          </w:tcPr>
          <w:p>
            <w:r>
              <w:rPr>
                <w:b/>
                <w:color w:val="FFFFFF"/>
              </w:rPr>
              <w:t>Anpassning</w:t>
            </w:r>
          </w:p>
        </w:tc>
        <w:tc>
          <w:tcPr>
            <w:tcW w:type="dxa" w:w="4876"/>
            <w:shd w:val="clear" w:color="auto" w:fill="8A6A00"/>
          </w:tcPr>
          <w:p>
            <w:r>
              <w:rPr>
                <w:b/>
                <w:color w:val="FFFFFF"/>
              </w:rPr>
              <w:t>Beskrivning</w:t>
            </w:r>
          </w:p>
        </w:tc>
        <w:tc>
          <w:tcPr>
            <w:tcW w:type="dxa" w:w="3175"/>
            <w:shd w:val="clear" w:color="auto" w:fill="8A6A00"/>
          </w:tcPr>
          <w:p>
            <w:r>
              <w:rPr>
                <w:b/>
                <w:color w:val="FFFFFF"/>
              </w:rPr>
              <w:t>Formulering till dokumentation</w:t>
            </w:r>
          </w:p>
        </w:tc>
        <w:tc>
          <w:tcPr>
            <w:tcW w:type="dxa" w:w="2948"/>
            <w:shd w:val="clear" w:color="auto" w:fill="8A6A00"/>
          </w:tcPr>
          <w:p>
            <w:r>
              <w:rPr>
                <w:b/>
                <w:color w:val="FFFFFF"/>
              </w:rPr>
              <w:t>Följ upp effekten</w:t>
            </w:r>
          </w:p>
        </w:tc>
        <w:tc>
          <w:tcPr>
            <w:tcW w:type="dxa" w:w="1191"/>
            <w:shd w:val="clear" w:color="auto" w:fill="8A6A00"/>
          </w:tcPr>
          <w:p>
            <w:r>
              <w:rPr>
                <w:b/>
                <w:color w:val="FFFFFF"/>
              </w:rPr>
              <w:t>Stadium / evidens</w:t>
            </w:r>
          </w:p>
        </w:tc>
      </w:tr>
      <w:tr>
        <w:tc>
          <w:tcPr>
            <w:tcW w:type="dxa" w:w="680"/>
          </w:tcPr>
          <w:p>
            <w:r>
              <w:t>SO01</w:t>
            </w:r>
          </w:p>
        </w:tc>
        <w:tc>
          <w:tcPr>
            <w:tcW w:type="dxa" w:w="2268"/>
          </w:tcPr>
          <w:p>
            <w:r>
              <w:rPr>
                <w:b/>
              </w:rPr>
              <w:t>Vuxenledd rastaktivitet</w:t>
            </w:r>
          </w:p>
        </w:tc>
        <w:tc>
          <w:tcPr>
            <w:tcW w:type="dxa" w:w="4876"/>
          </w:tcPr>
          <w:p>
            <w:r>
              <w:t>Under rasten finns en vuxenledd aktivitet med tydliga regler som eleven kan delta i. Eleven vet i förväg vad som erbjuds och var det sker.</w:t>
            </w:r>
          </w:p>
          <w:p>
            <w:r>
              <w:rPr>
                <w:i/>
                <w:color w:val="666666"/>
                <w:sz w:val="15"/>
              </w:rPr>
              <w:t>Källa: Tipsbanken (pedagogers erfarenhet). Se även: Tipsbanken: Sociala situationer, Känslor</w:t>
            </w:r>
          </w:p>
        </w:tc>
        <w:tc>
          <w:tcPr>
            <w:tcW w:type="dxa" w:w="3175"/>
          </w:tcPr>
          <w:p>
            <w:r>
              <w:t>Eleven erbjuds vuxenledd rastaktivitet med tydliga regler.</w:t>
            </w:r>
          </w:p>
        </w:tc>
        <w:tc>
          <w:tcPr>
            <w:tcW w:type="dxa" w:w="2948"/>
          </w:tcPr>
          <w:p>
            <w:r>
              <w:t>Följ antalet konflikter på rasten och om eleven kommer in i lektionen lugn.</w:t>
            </w:r>
          </w:p>
        </w:tc>
        <w:tc>
          <w:tcPr>
            <w:tcW w:type="dxa" w:w="1191"/>
          </w:tcPr>
          <w:p>
            <w:r>
              <w:t>F–3, 4–6</w:t>
              <w:br/>
              <w:t>Beprövad</w:t>
            </w:r>
          </w:p>
        </w:tc>
      </w:tr>
      <w:tr>
        <w:tc>
          <w:tcPr>
            <w:tcW w:type="dxa" w:w="680"/>
          </w:tcPr>
          <w:p>
            <w:r>
              <w:t>SO02</w:t>
            </w:r>
          </w:p>
        </w:tc>
        <w:tc>
          <w:tcPr>
            <w:tcW w:type="dxa" w:w="2268"/>
          </w:tcPr>
          <w:p>
            <w:r>
              <w:rPr>
                <w:b/>
              </w:rPr>
              <w:t>Plan för rasten</w:t>
            </w:r>
          </w:p>
        </w:tc>
        <w:tc>
          <w:tcPr>
            <w:tcW w:type="dxa" w:w="4876"/>
          </w:tcPr>
          <w:p>
            <w:r>
              <w:t>Innan rasten går eleven och en vuxen kort igenom vad hen ska göra, med vem och var, och vad hen gör om det blir problem. Efter rasten stämmer de av.</w:t>
            </w:r>
          </w:p>
          <w:p>
            <w:r>
              <w:rPr>
                <w:i/>
                <w:color w:val="666666"/>
                <w:sz w:val="15"/>
              </w:rPr>
              <w:t>Källa: Tipsbanken (pedagogers erfarenhet). Se även: Tipsbanken: Sociala situationer</w:t>
            </w:r>
          </w:p>
        </w:tc>
        <w:tc>
          <w:tcPr>
            <w:tcW w:type="dxa" w:w="3175"/>
          </w:tcPr>
          <w:p>
            <w:r>
              <w:t>Eleven gör en kort rastplan med vuxen före rasten och stämmer av efteråt.</w:t>
            </w:r>
          </w:p>
        </w:tc>
        <w:tc>
          <w:tcPr>
            <w:tcW w:type="dxa" w:w="2948"/>
          </w:tcPr>
          <w:p>
            <w:r>
              <w:t>Följ antalet rastkonflikter per vecka, före och efter.</w:t>
            </w:r>
          </w:p>
        </w:tc>
        <w:tc>
          <w:tcPr>
            <w:tcW w:type="dxa" w:w="1191"/>
          </w:tcPr>
          <w:p>
            <w:r>
              <w:t>F–3, 4–6</w:t>
              <w:br/>
              <w:t>Beprövad</w:t>
            </w:r>
          </w:p>
        </w:tc>
      </w:tr>
      <w:tr>
        <w:tc>
          <w:tcPr>
            <w:tcW w:type="dxa" w:w="680"/>
          </w:tcPr>
          <w:p>
            <w:r>
              <w:t>SO03</w:t>
            </w:r>
          </w:p>
        </w:tc>
        <w:tc>
          <w:tcPr>
            <w:tcW w:type="dxa" w:w="2268"/>
          </w:tcPr>
          <w:p>
            <w:r>
              <w:rPr>
                <w:b/>
              </w:rPr>
              <w:t>Lärarstyrda grupper med roller</w:t>
            </w:r>
          </w:p>
        </w:tc>
        <w:tc>
          <w:tcPr>
            <w:tcW w:type="dxa" w:w="4876"/>
          </w:tcPr>
          <w:p>
            <w:r>
              <w:t>Läraren sätter samman grupperna och ger varje elev en tydlig roll, till exempel sekreterare eller tidhållare, och en arbetsgång med avstämningstider. Eleven placeras med kamrater som fungerar bra med hen.</w:t>
            </w:r>
          </w:p>
          <w:p>
            <w:r>
              <w:rPr>
                <w:i/>
                <w:color w:val="666666"/>
                <w:sz w:val="15"/>
              </w:rPr>
              <w:t>Källa: EEF 2020 (flexibel gruppering), princip. Se även: Tipsbanken: Självständigt arbete; Levla: Kooperativt lärande</w:t>
            </w:r>
          </w:p>
        </w:tc>
        <w:tc>
          <w:tcPr>
            <w:tcW w:type="dxa" w:w="3175"/>
          </w:tcPr>
          <w:p>
            <w:r>
              <w:t>Eleven arbetar i lärarsatta grupper med tydlig roll och arbetsgång.</w:t>
            </w:r>
          </w:p>
        </w:tc>
        <w:tc>
          <w:tcPr>
            <w:tcW w:type="dxa" w:w="2948"/>
          </w:tcPr>
          <w:p>
            <w:r>
              <w:t>Fråga eleven efter grupparbetet hur det gick och notera elevens bidrag till gruppen.</w:t>
            </w:r>
          </w:p>
        </w:tc>
        <w:tc>
          <w:tcPr>
            <w:tcW w:type="dxa" w:w="1191"/>
          </w:tcPr>
          <w:p>
            <w:r>
              <w:t>F–9</w:t>
              <w:br/>
              <w:t>Beprövad</w:t>
            </w:r>
          </w:p>
        </w:tc>
      </w:tr>
      <w:tr>
        <w:tc>
          <w:tcPr>
            <w:tcW w:type="dxa" w:w="680"/>
          </w:tcPr>
          <w:p>
            <w:r>
              <w:t>SO04</w:t>
            </w:r>
          </w:p>
        </w:tc>
        <w:tc>
          <w:tcPr>
            <w:tcW w:type="dxa" w:w="2268"/>
          </w:tcPr>
          <w:p>
            <w:r>
              <w:rPr>
                <w:b/>
              </w:rPr>
              <w:t>Eget arbete som alternativ</w:t>
            </w:r>
          </w:p>
        </w:tc>
        <w:tc>
          <w:tcPr>
            <w:tcW w:type="dxa" w:w="4876"/>
          </w:tcPr>
          <w:p>
            <w:r>
              <w:t>När grupparbete är för svårt får eleven göra samma uppgift enskilt eller i par, med samma kunskapsmål. Samarbete tränas i mindre och mer strukturerade situationer.</w:t>
            </w:r>
          </w:p>
          <w:p>
            <w:r>
              <w:rPr>
                <w:i/>
                <w:color w:val="666666"/>
                <w:sz w:val="15"/>
              </w:rPr>
              <w:t>Källa: Tipsbanken (pedagogers erfarenhet). Se även: Tipsbanken: Sociala situationer</w:t>
            </w:r>
          </w:p>
        </w:tc>
        <w:tc>
          <w:tcPr>
            <w:tcW w:type="dxa" w:w="3175"/>
          </w:tcPr>
          <w:p>
            <w:r>
              <w:t>Eleven kan göra grupparbeten enskilt eller i par med samma kunskapsmål.</w:t>
            </w:r>
          </w:p>
        </w:tc>
        <w:tc>
          <w:tcPr>
            <w:tcW w:type="dxa" w:w="2948"/>
          </w:tcPr>
          <w:p>
            <w:r>
              <w:t>Jämför resultat och elevens mående i enskilt arbete och grupparbete.</w:t>
            </w:r>
          </w:p>
        </w:tc>
        <w:tc>
          <w:tcPr>
            <w:tcW w:type="dxa" w:w="1191"/>
          </w:tcPr>
          <w:p>
            <w:r>
              <w:t>F–9</w:t>
              <w:br/>
              <w:t>Beprövad</w:t>
            </w:r>
          </w:p>
        </w:tc>
      </w:tr>
      <w:tr>
        <w:tc>
          <w:tcPr>
            <w:tcW w:type="dxa" w:w="680"/>
          </w:tcPr>
          <w:p>
            <w:r>
              <w:t>SO05</w:t>
            </w:r>
          </w:p>
        </w:tc>
        <w:tc>
          <w:tcPr>
            <w:tcW w:type="dxa" w:w="2268"/>
          </w:tcPr>
          <w:p>
            <w:r>
              <w:rPr>
                <w:b/>
              </w:rPr>
              <w:t>Social berättelse inför ny situation</w:t>
            </w:r>
          </w:p>
        </w:tc>
        <w:tc>
          <w:tcPr>
            <w:tcW w:type="dxa" w:w="4876"/>
          </w:tcPr>
          <w:p>
            <w:r>
              <w:t>En kort berättelse med bilder beskriver en social situation, vad som brukar hända och vad eleven kan göra. Den används som komplement före en ny eller svår situation, eftersom forskningen visar att effekten är osäker som enda insats.</w:t>
            </w:r>
          </w:p>
          <w:p>
            <w:r>
              <w:rPr>
                <w:i/>
                <w:color w:val="666666"/>
                <w:sz w:val="15"/>
              </w:rPr>
              <w:t>Källa: Kokina &amp; Kern 2010 (osäker effekt). Se även: Levla: Sociala berättelser; Tipsbanken: Sociala situationer</w:t>
            </w:r>
          </w:p>
        </w:tc>
        <w:tc>
          <w:tcPr>
            <w:tcW w:type="dxa" w:w="3175"/>
          </w:tcPr>
          <w:p>
            <w:r>
              <w:t>Eleven förbereds med social berättelse inför nya eller svåra situationer.</w:t>
            </w:r>
          </w:p>
        </w:tc>
        <w:tc>
          <w:tcPr>
            <w:tcW w:type="dxa" w:w="2948"/>
          </w:tcPr>
          <w:p>
            <w:r>
              <w:t>Notera hur situationen går och om eleven kan återberätta vad hen kan göra.</w:t>
            </w:r>
          </w:p>
        </w:tc>
        <w:tc>
          <w:tcPr>
            <w:tcW w:type="dxa" w:w="1191"/>
          </w:tcPr>
          <w:p>
            <w:r>
              <w:t>F–3, 4–6</w:t>
              <w:br/>
              <w:t>Beprövad</w:t>
            </w:r>
          </w:p>
        </w:tc>
      </w:tr>
      <w:tr>
        <w:tc>
          <w:tcPr>
            <w:tcW w:type="dxa" w:w="680"/>
          </w:tcPr>
          <w:p>
            <w:r>
              <w:t>SO06</w:t>
            </w:r>
          </w:p>
        </w:tc>
        <w:tc>
          <w:tcPr>
            <w:tcW w:type="dxa" w:w="2268"/>
          </w:tcPr>
          <w:p>
            <w:r>
              <w:rPr>
                <w:b/>
              </w:rPr>
              <w:t>Visa med film eller förebild</w:t>
            </w:r>
          </w:p>
        </w:tc>
        <w:tc>
          <w:tcPr>
            <w:tcW w:type="dxa" w:w="4876"/>
          </w:tcPr>
          <w:p>
            <w:r>
              <w:t>Eleven får se en kort film eller en vuxen som visar hur en situation kan gå till, till exempel att be om att få vara med eller att ta emot kritik. Sedan övar eleven själv.</w:t>
            </w:r>
          </w:p>
          <w:p>
            <w:r>
              <w:rPr>
                <w:i/>
                <w:color w:val="666666"/>
                <w:sz w:val="15"/>
              </w:rPr>
              <w:t>Källa: Steinbrenner m.fl. 2020 (videomodellering)</w:t>
            </w:r>
          </w:p>
        </w:tc>
        <w:tc>
          <w:tcPr>
            <w:tcW w:type="dxa" w:w="3175"/>
          </w:tcPr>
          <w:p>
            <w:r>
              <w:t>Eleven tränar sociala färdigheter med hjälp av videomodellering eller förebild.</w:t>
            </w:r>
          </w:p>
        </w:tc>
        <w:tc>
          <w:tcPr>
            <w:tcW w:type="dxa" w:w="2948"/>
          </w:tcPr>
          <w:p>
            <w:r>
              <w:t>Notera hur ofta eleven använder färdigheten i vardagen under fyra veckor.</w:t>
            </w:r>
          </w:p>
        </w:tc>
        <w:tc>
          <w:tcPr>
            <w:tcW w:type="dxa" w:w="1191"/>
          </w:tcPr>
          <w:p>
            <w:r>
              <w:t>F–9</w:t>
              <w:br/>
              <w:t>Måttlig</w:t>
            </w:r>
          </w:p>
        </w:tc>
      </w:tr>
      <w:tr>
        <w:tc>
          <w:tcPr>
            <w:tcW w:type="dxa" w:w="680"/>
          </w:tcPr>
          <w:p>
            <w:r>
              <w:t>SO07</w:t>
            </w:r>
          </w:p>
        </w:tc>
        <w:tc>
          <w:tcPr>
            <w:tcW w:type="dxa" w:w="2268"/>
          </w:tcPr>
          <w:p>
            <w:r>
              <w:rPr>
                <w:b/>
              </w:rPr>
              <w:t>Vuxen nära i fria situationer</w:t>
            </w:r>
          </w:p>
        </w:tc>
        <w:tc>
          <w:tcPr>
            <w:tcW w:type="dxa" w:w="4876"/>
          </w:tcPr>
          <w:p>
            <w:r>
              <w:t>I matsal, kapprum, korridor och vid övergångar har eleven en bestämd plats nära en vuxen, eller får gå före eller efter de andra. Eleven vet vem hen kan vända sig till.</w:t>
            </w:r>
          </w:p>
          <w:p>
            <w:r>
              <w:rPr>
                <w:i/>
                <w:color w:val="666666"/>
                <w:sz w:val="15"/>
              </w:rPr>
              <w:t>Källa: Tipsbanken (pedagogers erfarenhet). Se även: Tipsbanken: Sociala situationer, Saker</w:t>
            </w:r>
          </w:p>
        </w:tc>
        <w:tc>
          <w:tcPr>
            <w:tcW w:type="dxa" w:w="3175"/>
          </w:tcPr>
          <w:p>
            <w:r>
              <w:t>Eleven har en bestämd plats nära vuxen i matsal och kapprum, och kan gå före eller efter gruppen vid övergångar.</w:t>
            </w:r>
          </w:p>
        </w:tc>
        <w:tc>
          <w:tcPr>
            <w:tcW w:type="dxa" w:w="2948"/>
          </w:tcPr>
          <w:p>
            <w:r>
              <w:t>Följ antalet incidenter i fria situationer per vecka.</w:t>
            </w:r>
          </w:p>
        </w:tc>
        <w:tc>
          <w:tcPr>
            <w:tcW w:type="dxa" w:w="1191"/>
          </w:tcPr>
          <w:p>
            <w:r>
              <w:t>F–9</w:t>
              <w:br/>
              <w:t>Beprövad</w:t>
            </w:r>
          </w:p>
        </w:tc>
      </w:tr>
    </w:tbl>
    <w:p>
      <w:r>
        <w:br w:type="page"/>
      </w:r>
    </w:p>
    <w:p>
      <w:pPr>
        <w:pStyle w:val="Heading1"/>
      </w:pPr>
      <w:r>
        <w:rPr>
          <w:color w:val="5B4B8A"/>
        </w:rPr>
        <w:t>Närvaro, övergångar och trygghet</w:t>
      </w:r>
    </w:p>
    <w:p>
      <w:r>
        <w:rPr>
          <w:i/>
        </w:rPr>
        <w:t>För elever med ströfrånvaro, oro inför skoldagen eller svårt med förändringar, och för elever som kommer tillbaka efter frånvaro.</w:t>
      </w:r>
    </w:p>
    <w:tbl>
      <w:tblPr>
        <w:tblStyle w:val="TableGrid"/>
        <w:tblW w:type="auto" w:w="0"/>
        <w:jc w:val="center"/>
        <w:tblLook w:firstColumn="1" w:firstRow="1" w:lastColumn="0" w:lastRow="0" w:noHBand="0" w:noVBand="1" w:val="04A0"/>
      </w:tblPr>
      <w:tblGrid>
        <w:gridCol w:w="2523"/>
        <w:gridCol w:w="2523"/>
        <w:gridCol w:w="2523"/>
        <w:gridCol w:w="2523"/>
        <w:gridCol w:w="2523"/>
        <w:gridCol w:w="2523"/>
      </w:tblGrid>
      <w:tr>
        <w:trPr>
          <w:tblHeader w:val="true"/>
        </w:trPr>
        <w:tc>
          <w:tcPr>
            <w:tcW w:type="dxa" w:w="680"/>
            <w:shd w:val="clear" w:color="auto" w:fill="5B4B8A"/>
          </w:tcPr>
          <w:p>
            <w:r>
              <w:rPr>
                <w:b/>
                <w:color w:val="FFFFFF"/>
              </w:rPr>
              <w:t>Nr</w:t>
            </w:r>
          </w:p>
        </w:tc>
        <w:tc>
          <w:tcPr>
            <w:tcW w:type="dxa" w:w="2268"/>
            <w:shd w:val="clear" w:color="auto" w:fill="5B4B8A"/>
          </w:tcPr>
          <w:p>
            <w:r>
              <w:rPr>
                <w:b/>
                <w:color w:val="FFFFFF"/>
              </w:rPr>
              <w:t>Anpassning</w:t>
            </w:r>
          </w:p>
        </w:tc>
        <w:tc>
          <w:tcPr>
            <w:tcW w:type="dxa" w:w="4876"/>
            <w:shd w:val="clear" w:color="auto" w:fill="5B4B8A"/>
          </w:tcPr>
          <w:p>
            <w:r>
              <w:rPr>
                <w:b/>
                <w:color w:val="FFFFFF"/>
              </w:rPr>
              <w:t>Beskrivning</w:t>
            </w:r>
          </w:p>
        </w:tc>
        <w:tc>
          <w:tcPr>
            <w:tcW w:type="dxa" w:w="3175"/>
            <w:shd w:val="clear" w:color="auto" w:fill="5B4B8A"/>
          </w:tcPr>
          <w:p>
            <w:r>
              <w:rPr>
                <w:b/>
                <w:color w:val="FFFFFF"/>
              </w:rPr>
              <w:t>Formulering till dokumentation</w:t>
            </w:r>
          </w:p>
        </w:tc>
        <w:tc>
          <w:tcPr>
            <w:tcW w:type="dxa" w:w="2948"/>
            <w:shd w:val="clear" w:color="auto" w:fill="5B4B8A"/>
          </w:tcPr>
          <w:p>
            <w:r>
              <w:rPr>
                <w:b/>
                <w:color w:val="FFFFFF"/>
              </w:rPr>
              <w:t>Följ upp effekten</w:t>
            </w:r>
          </w:p>
        </w:tc>
        <w:tc>
          <w:tcPr>
            <w:tcW w:type="dxa" w:w="1191"/>
            <w:shd w:val="clear" w:color="auto" w:fill="5B4B8A"/>
          </w:tcPr>
          <w:p>
            <w:r>
              <w:rPr>
                <w:b/>
                <w:color w:val="FFFFFF"/>
              </w:rPr>
              <w:t>Stadium / evidens</w:t>
            </w:r>
          </w:p>
        </w:tc>
      </w:tr>
      <w:tr>
        <w:tc>
          <w:tcPr>
            <w:tcW w:type="dxa" w:w="680"/>
          </w:tcPr>
          <w:p>
            <w:r>
              <w:t>NA01</w:t>
            </w:r>
          </w:p>
        </w:tc>
        <w:tc>
          <w:tcPr>
            <w:tcW w:type="dxa" w:w="2268"/>
          </w:tcPr>
          <w:p>
            <w:r>
              <w:rPr>
                <w:b/>
              </w:rPr>
              <w:t>Check in, check ut</w:t>
            </w:r>
          </w:p>
        </w:tc>
        <w:tc>
          <w:tcPr>
            <w:tcW w:type="dxa" w:w="4876"/>
          </w:tcPr>
          <w:p>
            <w:r>
              <w:t>Eleven träffar samma vuxen ett par minuter när dagen börjar och när den slutar: hur mår du, vad händer i dag, hur gick det? Mötet kan kopplas till ett målkort.</w:t>
            </w:r>
          </w:p>
          <w:p>
            <w:r>
              <w:rPr>
                <w:i/>
                <w:color w:val="666666"/>
                <w:sz w:val="15"/>
              </w:rPr>
              <w:t>Källa: Wolfe m.fl. 2016; Maggin m.fl. 2015. Se även: Levla: Check in, check ut</w:t>
            </w:r>
          </w:p>
        </w:tc>
        <w:tc>
          <w:tcPr>
            <w:tcW w:type="dxa" w:w="3175"/>
          </w:tcPr>
          <w:p>
            <w:r>
              <w:t>Eleven har daglig in- och utcheckning med en bestämd vuxen.</w:t>
            </w:r>
          </w:p>
        </w:tc>
        <w:tc>
          <w:tcPr>
            <w:tcW w:type="dxa" w:w="2948"/>
          </w:tcPr>
          <w:p>
            <w:r>
              <w:t>Följ närvaro, sena ankomster och elevens egen skattning av dagen.</w:t>
            </w:r>
          </w:p>
        </w:tc>
        <w:tc>
          <w:tcPr>
            <w:tcW w:type="dxa" w:w="1191"/>
          </w:tcPr>
          <w:p>
            <w:r>
              <w:t>F–9</w:t>
              <w:br/>
              <w:t>Måttlig</w:t>
            </w:r>
          </w:p>
        </w:tc>
      </w:tr>
      <w:tr>
        <w:tc>
          <w:tcPr>
            <w:tcW w:type="dxa" w:w="680"/>
          </w:tcPr>
          <w:p>
            <w:r>
              <w:t>NA02</w:t>
            </w:r>
          </w:p>
        </w:tc>
        <w:tc>
          <w:tcPr>
            <w:tcW w:type="dxa" w:w="2268"/>
          </w:tcPr>
          <w:p>
            <w:r>
              <w:rPr>
                <w:b/>
              </w:rPr>
              <w:t>Snabb kontakt vid frånvaro</w:t>
            </w:r>
          </w:p>
        </w:tc>
        <w:tc>
          <w:tcPr>
            <w:tcW w:type="dxa" w:w="4876"/>
          </w:tcPr>
          <w:p>
            <w:r>
              <w:t>Elevens närvaro följs varje dag, och mentorn hör av sig till hemmet samma dag vid oanmäld frånvaro eller sen ankomst. Tonen är omtänksam: ”vi saknar dig”.</w:t>
            </w:r>
          </w:p>
          <w:p>
            <w:r>
              <w:rPr>
                <w:i/>
                <w:color w:val="666666"/>
                <w:sz w:val="15"/>
              </w:rPr>
              <w:t>Källa: Maynard m.fl. 2012; Eklund m.fl. 2022. Se även: Levla: Skolnärvaro och närvarofrämjande arbete</w:t>
            </w:r>
          </w:p>
        </w:tc>
        <w:tc>
          <w:tcPr>
            <w:tcW w:type="dxa" w:w="3175"/>
          </w:tcPr>
          <w:p>
            <w:r>
              <w:t>Elevens närvaro följs dagligen med kontakt med hemmet samma dag vid frånvaro.</w:t>
            </w:r>
          </w:p>
        </w:tc>
        <w:tc>
          <w:tcPr>
            <w:tcW w:type="dxa" w:w="2948"/>
          </w:tcPr>
          <w:p>
            <w:r>
              <w:t>Följ närvaroprocenten varje månad, och informera rektor om frånvaron ökar.</w:t>
            </w:r>
          </w:p>
        </w:tc>
        <w:tc>
          <w:tcPr>
            <w:tcW w:type="dxa" w:w="1191"/>
          </w:tcPr>
          <w:p>
            <w:r>
              <w:t>F–9</w:t>
              <w:br/>
              <w:t>Måttlig</w:t>
            </w:r>
          </w:p>
        </w:tc>
      </w:tr>
      <w:tr>
        <w:tc>
          <w:tcPr>
            <w:tcW w:type="dxa" w:w="680"/>
          </w:tcPr>
          <w:p>
            <w:r>
              <w:t>NA03</w:t>
            </w:r>
          </w:p>
        </w:tc>
        <w:tc>
          <w:tcPr>
            <w:tcW w:type="dxa" w:w="2268"/>
          </w:tcPr>
          <w:p>
            <w:r>
              <w:rPr>
                <w:b/>
              </w:rPr>
              <w:t>Mjuk skolstart</w:t>
            </w:r>
          </w:p>
        </w:tc>
        <w:tc>
          <w:tcPr>
            <w:tcW w:type="dxa" w:w="4876"/>
          </w:tcPr>
          <w:p>
            <w:r>
              <w:t>Eleven möts av en bestämd vuxen vid en avtalad ingång och tid, och dagen börjar med något förutsägbart och lustfyllt. Det gör det lättare att ta sig till skolan.</w:t>
            </w:r>
          </w:p>
          <w:p>
            <w:r>
              <w:rPr>
                <w:i/>
                <w:color w:val="666666"/>
                <w:sz w:val="15"/>
              </w:rPr>
              <w:t>Källa: SPSM 2025 (närvarofrämjande), princip. Se även: Tipsbanken: Tiden (högläsning på morgonen)</w:t>
            </w:r>
          </w:p>
        </w:tc>
        <w:tc>
          <w:tcPr>
            <w:tcW w:type="dxa" w:w="3175"/>
          </w:tcPr>
          <w:p>
            <w:r>
              <w:t>Eleven möts av en bestämd vuxen vid skolstart.</w:t>
            </w:r>
          </w:p>
        </w:tc>
        <w:tc>
          <w:tcPr>
            <w:tcW w:type="dxa" w:w="2948"/>
          </w:tcPr>
          <w:p>
            <w:r>
              <w:t>Följ antalet sena ankomster och elevens egen skattning av morgonen.</w:t>
            </w:r>
          </w:p>
        </w:tc>
        <w:tc>
          <w:tcPr>
            <w:tcW w:type="dxa" w:w="1191"/>
          </w:tcPr>
          <w:p>
            <w:r>
              <w:t>F–9</w:t>
              <w:br/>
              <w:t>Beprövad</w:t>
            </w:r>
          </w:p>
        </w:tc>
      </w:tr>
      <w:tr>
        <w:tc>
          <w:tcPr>
            <w:tcW w:type="dxa" w:w="680"/>
          </w:tcPr>
          <w:p>
            <w:r>
              <w:t>NA04</w:t>
            </w:r>
          </w:p>
        </w:tc>
        <w:tc>
          <w:tcPr>
            <w:tcW w:type="dxa" w:w="2268"/>
          </w:tcPr>
          <w:p>
            <w:r>
              <w:rPr>
                <w:b/>
              </w:rPr>
              <w:t>Veckokontakt med hemmet</w:t>
            </w:r>
          </w:p>
        </w:tc>
        <w:tc>
          <w:tcPr>
            <w:tcW w:type="dxa" w:w="4876"/>
          </w:tcPr>
          <w:p>
            <w:r>
              <w:t>Mentorn och vårdnadshavarna har en kort kontakt varje vecka med två saker som gått bra och en sak att arbeta vidare med. Skola och hem ger samma budskap.</w:t>
            </w:r>
          </w:p>
          <w:p>
            <w:r>
              <w:rPr>
                <w:i/>
                <w:color w:val="666666"/>
                <w:sz w:val="15"/>
              </w:rPr>
              <w:t>Källa: Epstein m.fl. (WWC) 2008, rekommendation 4. Se även: Levla: Samverkan med vårdnadshavare</w:t>
            </w:r>
          </w:p>
        </w:tc>
        <w:tc>
          <w:tcPr>
            <w:tcW w:type="dxa" w:w="3175"/>
          </w:tcPr>
          <w:p>
            <w:r>
              <w:t>Mentor och vårdnadshavare har veckovis kontakt om elevens skolsituation.</w:t>
            </w:r>
          </w:p>
        </w:tc>
        <w:tc>
          <w:tcPr>
            <w:tcW w:type="dxa" w:w="2948"/>
          </w:tcPr>
          <w:p>
            <w:r>
              <w:t>Utvärdera tillsammans med vårdnadshavarna efter en månad om kontakten hjälper.</w:t>
            </w:r>
          </w:p>
        </w:tc>
        <w:tc>
          <w:tcPr>
            <w:tcW w:type="dxa" w:w="1191"/>
          </w:tcPr>
          <w:p>
            <w:r>
              <w:t>F–9</w:t>
              <w:br/>
              <w:t>Måttlig</w:t>
            </w:r>
          </w:p>
        </w:tc>
      </w:tr>
      <w:tr>
        <w:tc>
          <w:tcPr>
            <w:tcW w:type="dxa" w:w="680"/>
          </w:tcPr>
          <w:p>
            <w:r>
              <w:t>NA05</w:t>
            </w:r>
          </w:p>
        </w:tc>
        <w:tc>
          <w:tcPr>
            <w:tcW w:type="dxa" w:w="2268"/>
          </w:tcPr>
          <w:p>
            <w:r>
              <w:rPr>
                <w:b/>
              </w:rPr>
              <w:t>Sex frågor inför det nya</w:t>
            </w:r>
          </w:p>
        </w:tc>
        <w:tc>
          <w:tcPr>
            <w:tcW w:type="dxa" w:w="4876"/>
          </w:tcPr>
          <w:p>
            <w:r>
              <w:t>Inför utflykter, vikarier, temadagar och andra avvikelser får eleven svar på sex frågor: var, när, hur, hur länge, med vem och vad händer sedan. Svaren ges gärna skriftligt eller med bild.</w:t>
            </w:r>
          </w:p>
          <w:p>
            <w:r>
              <w:rPr>
                <w:i/>
                <w:color w:val="666666"/>
                <w:sz w:val="15"/>
              </w:rPr>
              <w:t>Källa: Tipsbanken (pedagogers erfarenhet); Steinbrenner m.fl. 2020, princip. Se även: Tipsbanken: Känslor; Levla: Ligga steget före</w:t>
            </w:r>
          </w:p>
        </w:tc>
        <w:tc>
          <w:tcPr>
            <w:tcW w:type="dxa" w:w="3175"/>
          </w:tcPr>
          <w:p>
            <w:r>
              <w:t>Eleven förbereds inför avvikelser från schemat med svar på var, när, hur, hur länge, med vem och vad sedan.</w:t>
            </w:r>
          </w:p>
        </w:tc>
        <w:tc>
          <w:tcPr>
            <w:tcW w:type="dxa" w:w="2948"/>
          </w:tcPr>
          <w:p>
            <w:r>
              <w:t>Notera hur avvikande dagar fungerar och om eleven kommer till skolan på sådana dagar.</w:t>
            </w:r>
          </w:p>
        </w:tc>
        <w:tc>
          <w:tcPr>
            <w:tcW w:type="dxa" w:w="1191"/>
          </w:tcPr>
          <w:p>
            <w:r>
              <w:t>F–9</w:t>
              <w:br/>
              <w:t>Beprövad</w:t>
            </w:r>
          </w:p>
        </w:tc>
      </w:tr>
      <w:tr>
        <w:tc>
          <w:tcPr>
            <w:tcW w:type="dxa" w:w="680"/>
          </w:tcPr>
          <w:p>
            <w:r>
              <w:t>NA06</w:t>
            </w:r>
          </w:p>
        </w:tc>
        <w:tc>
          <w:tcPr>
            <w:tcW w:type="dxa" w:w="2268"/>
          </w:tcPr>
          <w:p>
            <w:r>
              <w:rPr>
                <w:b/>
              </w:rPr>
              <w:t>Plan för återkomst</w:t>
            </w:r>
          </w:p>
        </w:tc>
        <w:tc>
          <w:tcPr>
            <w:tcW w:type="dxa" w:w="4876"/>
          </w:tcPr>
          <w:p>
            <w:r>
              <w:t>När eleven kommer tillbaka efter frånvaro är det missade materialet samlat, och en vuxen visar vad som är viktigast att ta igen och vad som kan strykas. Eleven ska inte mötas av en hög.</w:t>
            </w:r>
          </w:p>
          <w:p>
            <w:r>
              <w:rPr>
                <w:i/>
                <w:color w:val="666666"/>
                <w:sz w:val="15"/>
              </w:rPr>
              <w:t>Källa: SPSM 2025 (närvarofrämjande), princip</w:t>
            </w:r>
          </w:p>
        </w:tc>
        <w:tc>
          <w:tcPr>
            <w:tcW w:type="dxa" w:w="3175"/>
          </w:tcPr>
          <w:p>
            <w:r>
              <w:t>Eleven får en prioriterad plan för det som missats vid återkomst efter frånvaro.</w:t>
            </w:r>
          </w:p>
        </w:tc>
        <w:tc>
          <w:tcPr>
            <w:tcW w:type="dxa" w:w="2948"/>
          </w:tcPr>
          <w:p>
            <w:r>
              <w:t>Stäm av efter två veckor att eleven kommit ikapp med det prioriterade.</w:t>
            </w:r>
          </w:p>
        </w:tc>
        <w:tc>
          <w:tcPr>
            <w:tcW w:type="dxa" w:w="1191"/>
          </w:tcPr>
          <w:p>
            <w:r>
              <w:t>F–9</w:t>
              <w:br/>
              <w:t>Beprövad</w:t>
            </w:r>
          </w:p>
        </w:tc>
      </w:tr>
      <w:tr>
        <w:tc>
          <w:tcPr>
            <w:tcW w:type="dxa" w:w="680"/>
          </w:tcPr>
          <w:p>
            <w:r>
              <w:t>NA07</w:t>
            </w:r>
          </w:p>
        </w:tc>
        <w:tc>
          <w:tcPr>
            <w:tcW w:type="dxa" w:w="2268"/>
          </w:tcPr>
          <w:p>
            <w:r>
              <w:rPr>
                <w:b/>
              </w:rPr>
              <w:t>Energibalans</w:t>
            </w:r>
          </w:p>
        </w:tc>
        <w:tc>
          <w:tcPr>
            <w:tcW w:type="dxa" w:w="4876"/>
          </w:tcPr>
          <w:p>
            <w:r>
              <w:t>Eleven och en vuxen kartlägger vad i skoldagen som tar och ger energi och planerar sedan veckan så att krävande moment varvas med återhämtning. Äldre elever kan färgkoda sin kalender.</w:t>
            </w:r>
          </w:p>
          <w:p>
            <w:r>
              <w:rPr>
                <w:i/>
                <w:color w:val="666666"/>
                <w:sz w:val="15"/>
              </w:rPr>
              <w:t>Källa: Beprövad praxis. Se även: Levla: Energibalans</w:t>
            </w:r>
          </w:p>
        </w:tc>
        <w:tc>
          <w:tcPr>
            <w:tcW w:type="dxa" w:w="3175"/>
          </w:tcPr>
          <w:p>
            <w:r>
              <w:t>Eleven har en energikartläggning och en veckoplanering som varvar krävande moment med återhämtning.</w:t>
            </w:r>
          </w:p>
        </w:tc>
        <w:tc>
          <w:tcPr>
            <w:tcW w:type="dxa" w:w="2948"/>
          </w:tcPr>
          <w:p>
            <w:r>
              <w:t>Låt eleven skatta sin ork i slutet av varje dag i två veckor, före och efter.</w:t>
            </w:r>
          </w:p>
        </w:tc>
        <w:tc>
          <w:tcPr>
            <w:tcW w:type="dxa" w:w="1191"/>
          </w:tcPr>
          <w:p>
            <w:r>
              <w:t>4–6, 7–9</w:t>
              <w:br/>
              <w:t>Beprövad</w:t>
            </w:r>
          </w:p>
        </w:tc>
      </w:tr>
    </w:tbl>
    <w:p>
      <w:r>
        <w:br w:type="page"/>
      </w:r>
    </w:p>
    <w:p>
      <w:pPr>
        <w:pStyle w:val="Heading1"/>
      </w:pPr>
      <w:r>
        <w:rPr>
          <w:color w:val="4B5563"/>
        </w:rPr>
        <w:t>Prov, bedömning och redovisning</w:t>
      </w:r>
    </w:p>
    <w:p>
      <w:r>
        <w:rPr>
          <w:i/>
        </w:rPr>
        <w:t>För elever vars kunskaper inte syns i ordinarie prov och redovisningar på grund av läs- och skrivsvårigheter, stress eller uppmärksamhetssvårigheter.</w:t>
      </w:r>
    </w:p>
    <w:tbl>
      <w:tblPr>
        <w:tblStyle w:val="TableGrid"/>
        <w:tblW w:type="auto" w:w="0"/>
        <w:jc w:val="center"/>
        <w:tblLook w:firstColumn="1" w:firstRow="1" w:lastColumn="0" w:lastRow="0" w:noHBand="0" w:noVBand="1" w:val="04A0"/>
      </w:tblPr>
      <w:tblGrid>
        <w:gridCol w:w="2523"/>
        <w:gridCol w:w="2523"/>
        <w:gridCol w:w="2523"/>
        <w:gridCol w:w="2523"/>
        <w:gridCol w:w="2523"/>
        <w:gridCol w:w="2523"/>
      </w:tblGrid>
      <w:tr>
        <w:trPr>
          <w:tblHeader w:val="true"/>
        </w:trPr>
        <w:tc>
          <w:tcPr>
            <w:tcW w:type="dxa" w:w="680"/>
            <w:shd w:val="clear" w:color="auto" w:fill="4B5563"/>
          </w:tcPr>
          <w:p>
            <w:r>
              <w:rPr>
                <w:b/>
                <w:color w:val="FFFFFF"/>
              </w:rPr>
              <w:t>Nr</w:t>
            </w:r>
          </w:p>
        </w:tc>
        <w:tc>
          <w:tcPr>
            <w:tcW w:type="dxa" w:w="2268"/>
            <w:shd w:val="clear" w:color="auto" w:fill="4B5563"/>
          </w:tcPr>
          <w:p>
            <w:r>
              <w:rPr>
                <w:b/>
                <w:color w:val="FFFFFF"/>
              </w:rPr>
              <w:t>Anpassning</w:t>
            </w:r>
          </w:p>
        </w:tc>
        <w:tc>
          <w:tcPr>
            <w:tcW w:type="dxa" w:w="4876"/>
            <w:shd w:val="clear" w:color="auto" w:fill="4B5563"/>
          </w:tcPr>
          <w:p>
            <w:r>
              <w:rPr>
                <w:b/>
                <w:color w:val="FFFFFF"/>
              </w:rPr>
              <w:t>Beskrivning</w:t>
            </w:r>
          </w:p>
        </w:tc>
        <w:tc>
          <w:tcPr>
            <w:tcW w:type="dxa" w:w="3175"/>
            <w:shd w:val="clear" w:color="auto" w:fill="4B5563"/>
          </w:tcPr>
          <w:p>
            <w:r>
              <w:rPr>
                <w:b/>
                <w:color w:val="FFFFFF"/>
              </w:rPr>
              <w:t>Formulering till dokumentation</w:t>
            </w:r>
          </w:p>
        </w:tc>
        <w:tc>
          <w:tcPr>
            <w:tcW w:type="dxa" w:w="2948"/>
            <w:shd w:val="clear" w:color="auto" w:fill="4B5563"/>
          </w:tcPr>
          <w:p>
            <w:r>
              <w:rPr>
                <w:b/>
                <w:color w:val="FFFFFF"/>
              </w:rPr>
              <w:t>Följ upp effekten</w:t>
            </w:r>
          </w:p>
        </w:tc>
        <w:tc>
          <w:tcPr>
            <w:tcW w:type="dxa" w:w="1191"/>
            <w:shd w:val="clear" w:color="auto" w:fill="4B5563"/>
          </w:tcPr>
          <w:p>
            <w:r>
              <w:rPr>
                <w:b/>
                <w:color w:val="FFFFFF"/>
              </w:rPr>
              <w:t>Stadium / evidens</w:t>
            </w:r>
          </w:p>
        </w:tc>
      </w:tr>
      <w:tr>
        <w:tc>
          <w:tcPr>
            <w:tcW w:type="dxa" w:w="680"/>
          </w:tcPr>
          <w:p>
            <w:r>
              <w:t>BR01</w:t>
            </w:r>
          </w:p>
        </w:tc>
        <w:tc>
          <w:tcPr>
            <w:tcW w:type="dxa" w:w="2268"/>
          </w:tcPr>
          <w:p>
            <w:r>
              <w:rPr>
                <w:b/>
              </w:rPr>
              <w:t>Förlängd tid</w:t>
            </w:r>
          </w:p>
        </w:tc>
        <w:tc>
          <w:tcPr>
            <w:tcW w:type="dxa" w:w="4876"/>
          </w:tcPr>
          <w:p>
            <w:r>
              <w:t>Eleven får mer tid vid prov och tidsbegränsade uppgifter, till exempel 50 procent mer. Det ska vara känt i förväg och planerat, så att eleven inte behöver be om det.</w:t>
            </w:r>
          </w:p>
          <w:p>
            <w:r>
              <w:rPr>
                <w:i/>
                <w:color w:val="666666"/>
                <w:sz w:val="15"/>
              </w:rPr>
              <w:t>Källa: NCEO Report 402 (forskningsöversikt)</w:t>
            </w:r>
          </w:p>
        </w:tc>
        <w:tc>
          <w:tcPr>
            <w:tcW w:type="dxa" w:w="3175"/>
          </w:tcPr>
          <w:p>
            <w:r>
              <w:t>Eleven har förlängd skrivtid vid prov och tidsbegränsade uppgifter.</w:t>
            </w:r>
          </w:p>
        </w:tc>
        <w:tc>
          <w:tcPr>
            <w:tcW w:type="dxa" w:w="2948"/>
          </w:tcPr>
          <w:p>
            <w:r>
              <w:t>Notera om eleven använder tiden och om resultaten speglar kunskaperna bättre.</w:t>
            </w:r>
          </w:p>
        </w:tc>
        <w:tc>
          <w:tcPr>
            <w:tcW w:type="dxa" w:w="1191"/>
          </w:tcPr>
          <w:p>
            <w:r>
              <w:t>F–9</w:t>
              <w:br/>
              <w:t>Måttlig</w:t>
            </w:r>
          </w:p>
        </w:tc>
      </w:tr>
      <w:tr>
        <w:tc>
          <w:tcPr>
            <w:tcW w:type="dxa" w:w="680"/>
          </w:tcPr>
          <w:p>
            <w:r>
              <w:t>BR02</w:t>
            </w:r>
          </w:p>
        </w:tc>
        <w:tc>
          <w:tcPr>
            <w:tcW w:type="dxa" w:w="2268"/>
          </w:tcPr>
          <w:p>
            <w:r>
              <w:rPr>
                <w:b/>
              </w:rPr>
              <w:t>Prov i lugn lokal</w:t>
            </w:r>
          </w:p>
        </w:tc>
        <w:tc>
          <w:tcPr>
            <w:tcW w:type="dxa" w:w="4876"/>
          </w:tcPr>
          <w:p>
            <w:r>
              <w:t>Eleven skriver prov i ett mindre rum med färre elever och med en vuxen tillgänglig.</w:t>
            </w:r>
          </w:p>
          <w:p>
            <w:r>
              <w:rPr>
                <w:i/>
                <w:color w:val="666666"/>
                <w:sz w:val="15"/>
              </w:rPr>
              <w:t>Källa: Epstein m.fl. (WWC) 2008, princip</w:t>
            </w:r>
          </w:p>
        </w:tc>
        <w:tc>
          <w:tcPr>
            <w:tcW w:type="dxa" w:w="3175"/>
          </w:tcPr>
          <w:p>
            <w:r>
              <w:t>Eleven skriver prov i en lugnare lokal med färre elever.</w:t>
            </w:r>
          </w:p>
        </w:tc>
        <w:tc>
          <w:tcPr>
            <w:tcW w:type="dxa" w:w="2948"/>
          </w:tcPr>
          <w:p>
            <w:r>
              <w:t>Jämför elevens upplevelse och resultat i ordinarie sal och i lugn lokal.</w:t>
            </w:r>
          </w:p>
        </w:tc>
        <w:tc>
          <w:tcPr>
            <w:tcW w:type="dxa" w:w="1191"/>
          </w:tcPr>
          <w:p>
            <w:r>
              <w:t>F–9</w:t>
              <w:br/>
              <w:t>Beprövad</w:t>
            </w:r>
          </w:p>
        </w:tc>
      </w:tr>
      <w:tr>
        <w:tc>
          <w:tcPr>
            <w:tcW w:type="dxa" w:w="680"/>
          </w:tcPr>
          <w:p>
            <w:r>
              <w:t>BR03</w:t>
            </w:r>
          </w:p>
        </w:tc>
        <w:tc>
          <w:tcPr>
            <w:tcW w:type="dxa" w:w="2268"/>
          </w:tcPr>
          <w:p>
            <w:r>
              <w:rPr>
                <w:b/>
              </w:rPr>
              <w:t>Upplästa provfrågor</w:t>
            </w:r>
          </w:p>
        </w:tc>
        <w:tc>
          <w:tcPr>
            <w:tcW w:type="dxa" w:w="4876"/>
          </w:tcPr>
          <w:p>
            <w:r>
              <w:t>Provfrågorna läses upp av en vuxen eller med talsyntes, så att provet mäter ämneskunskaper och inte läsförmåga. Forskningen om effekten är splittrad, så följ upp om det gör skillnad för just den här eleven.</w:t>
            </w:r>
          </w:p>
          <w:p>
            <w:r>
              <w:rPr>
                <w:i/>
                <w:color w:val="666666"/>
                <w:sz w:val="15"/>
              </w:rPr>
              <w:t>Källa: NCEO Report 402 (splittrad forskning)</w:t>
            </w:r>
          </w:p>
        </w:tc>
        <w:tc>
          <w:tcPr>
            <w:tcW w:type="dxa" w:w="3175"/>
          </w:tcPr>
          <w:p>
            <w:r>
              <w:t>Eleven får provfrågor upplästa i prov där läsförmåga inte är det som bedöms.</w:t>
            </w:r>
          </w:p>
        </w:tc>
        <w:tc>
          <w:tcPr>
            <w:tcW w:type="dxa" w:w="2948"/>
          </w:tcPr>
          <w:p>
            <w:r>
              <w:t>Jämför elevens resultat med och utan uppläsning på liknande prov.</w:t>
            </w:r>
          </w:p>
        </w:tc>
        <w:tc>
          <w:tcPr>
            <w:tcW w:type="dxa" w:w="1191"/>
          </w:tcPr>
          <w:p>
            <w:r>
              <w:t>F–9</w:t>
              <w:br/>
              <w:t>Beprövad</w:t>
            </w:r>
          </w:p>
        </w:tc>
      </w:tr>
      <w:tr>
        <w:tc>
          <w:tcPr>
            <w:tcW w:type="dxa" w:w="680"/>
          </w:tcPr>
          <w:p>
            <w:r>
              <w:t>BR04</w:t>
            </w:r>
          </w:p>
        </w:tc>
        <w:tc>
          <w:tcPr>
            <w:tcW w:type="dxa" w:w="2268"/>
          </w:tcPr>
          <w:p>
            <w:r>
              <w:rPr>
                <w:b/>
              </w:rPr>
              <w:t>Muntlig komplettering</w:t>
            </w:r>
          </w:p>
        </w:tc>
        <w:tc>
          <w:tcPr>
            <w:tcW w:type="dxa" w:w="4876"/>
          </w:tcPr>
          <w:p>
            <w:r>
              <w:t>Efter ett skriftligt prov får eleven komplettera muntligt, så att det eleven kan men inte fick ned på papper också syns.</w:t>
            </w:r>
          </w:p>
          <w:p>
            <w:r>
              <w:rPr>
                <w:i/>
                <w:color w:val="666666"/>
                <w:sz w:val="15"/>
              </w:rPr>
              <w:t>Källa: Skolverket SKOLFS 2022:334, princip</w:t>
            </w:r>
          </w:p>
        </w:tc>
        <w:tc>
          <w:tcPr>
            <w:tcW w:type="dxa" w:w="3175"/>
          </w:tcPr>
          <w:p>
            <w:r>
              <w:t>Eleven erbjuds muntlig komplettering efter skriftliga prov.</w:t>
            </w:r>
          </w:p>
        </w:tc>
        <w:tc>
          <w:tcPr>
            <w:tcW w:type="dxa" w:w="2948"/>
          </w:tcPr>
          <w:p>
            <w:r>
              <w:t>Notera hur mycket kunskap som tillkommer muntligt jämfört med det skriftliga.</w:t>
            </w:r>
          </w:p>
        </w:tc>
        <w:tc>
          <w:tcPr>
            <w:tcW w:type="dxa" w:w="1191"/>
          </w:tcPr>
          <w:p>
            <w:r>
              <w:t>F–9</w:t>
              <w:br/>
              <w:t>Beprövad</w:t>
            </w:r>
          </w:p>
        </w:tc>
      </w:tr>
      <w:tr>
        <w:tc>
          <w:tcPr>
            <w:tcW w:type="dxa" w:w="680"/>
          </w:tcPr>
          <w:p>
            <w:r>
              <w:t>BR05</w:t>
            </w:r>
          </w:p>
        </w:tc>
        <w:tc>
          <w:tcPr>
            <w:tcW w:type="dxa" w:w="2268"/>
          </w:tcPr>
          <w:p>
            <w:r>
              <w:rPr>
                <w:b/>
              </w:rPr>
              <w:t>Annan redovisningsform</w:t>
            </w:r>
          </w:p>
        </w:tc>
        <w:tc>
          <w:tcPr>
            <w:tcW w:type="dxa" w:w="4876"/>
          </w:tcPr>
          <w:p>
            <w:r>
              <w:t>Eleven redovisar samma kunskapsmål på ett annat sätt: muntligt för läraren, med inspelning, film, bilder eller en modell. Redovisning inför hela klassen kan ersättas med en mindre grupp.</w:t>
            </w:r>
          </w:p>
          <w:p>
            <w:r>
              <w:rPr>
                <w:i/>
                <w:color w:val="666666"/>
                <w:sz w:val="15"/>
              </w:rPr>
              <w:t>Källa: Skolverket SKOLFS 2022:334, princip. Se även: Levla: Att möta tysta elever</w:t>
            </w:r>
          </w:p>
        </w:tc>
        <w:tc>
          <w:tcPr>
            <w:tcW w:type="dxa" w:w="3175"/>
          </w:tcPr>
          <w:p>
            <w:r>
              <w:t>Eleven kan redovisa i alternativ form med samma kunskapsmål.</w:t>
            </w:r>
          </w:p>
        </w:tc>
        <w:tc>
          <w:tcPr>
            <w:tcW w:type="dxa" w:w="2948"/>
          </w:tcPr>
          <w:p>
            <w:r>
              <w:t>Kontrollera att redovisningen ger tillräckligt underlag för bedömning mot kunskapskraven.</w:t>
            </w:r>
          </w:p>
        </w:tc>
        <w:tc>
          <w:tcPr>
            <w:tcW w:type="dxa" w:w="1191"/>
          </w:tcPr>
          <w:p>
            <w:r>
              <w:t>F–9</w:t>
              <w:br/>
              <w:t>Beprövad</w:t>
            </w:r>
          </w:p>
        </w:tc>
      </w:tr>
      <w:tr>
        <w:tc>
          <w:tcPr>
            <w:tcW w:type="dxa" w:w="680"/>
          </w:tcPr>
          <w:p>
            <w:r>
              <w:t>BR06</w:t>
            </w:r>
          </w:p>
        </w:tc>
        <w:tc>
          <w:tcPr>
            <w:tcW w:type="dxa" w:w="2268"/>
          </w:tcPr>
          <w:p>
            <w:r>
              <w:rPr>
                <w:b/>
              </w:rPr>
              <w:t>Prov i delar</w:t>
            </w:r>
          </w:p>
        </w:tc>
        <w:tc>
          <w:tcPr>
            <w:tcW w:type="dxa" w:w="4876"/>
          </w:tcPr>
          <w:p>
            <w:r>
              <w:t>Ett stort prov delas upp i två eller tre kortare delar vid olika tillfällen, eller avbryts med en planerad paus.</w:t>
            </w:r>
          </w:p>
          <w:p>
            <w:r>
              <w:rPr>
                <w:i/>
                <w:color w:val="666666"/>
                <w:sz w:val="15"/>
              </w:rPr>
              <w:t>Källa: Beprövad praxis; NCEO Report 402</w:t>
            </w:r>
          </w:p>
        </w:tc>
        <w:tc>
          <w:tcPr>
            <w:tcW w:type="dxa" w:w="3175"/>
          </w:tcPr>
          <w:p>
            <w:r>
              <w:t>Eleven skriver längre prov uppdelade i kortare delar.</w:t>
            </w:r>
          </w:p>
        </w:tc>
        <w:tc>
          <w:tcPr>
            <w:tcW w:type="dxa" w:w="2948"/>
          </w:tcPr>
          <w:p>
            <w:r>
              <w:t>Jämför resultat och upplevelse med prov som skrivs i ett sammanhang.</w:t>
            </w:r>
          </w:p>
        </w:tc>
        <w:tc>
          <w:tcPr>
            <w:tcW w:type="dxa" w:w="1191"/>
          </w:tcPr>
          <w:p>
            <w:r>
              <w:t>4–6, 7–9</w:t>
              <w:br/>
              <w:t>Beprövad</w:t>
            </w:r>
          </w:p>
        </w:tc>
      </w:tr>
      <w:tr>
        <w:tc>
          <w:tcPr>
            <w:tcW w:type="dxa" w:w="680"/>
          </w:tcPr>
          <w:p>
            <w:r>
              <w:t>BR07</w:t>
            </w:r>
          </w:p>
        </w:tc>
        <w:tc>
          <w:tcPr>
            <w:tcW w:type="dxa" w:w="2268"/>
          </w:tcPr>
          <w:p>
            <w:r>
              <w:rPr>
                <w:b/>
              </w:rPr>
              <w:t>Provet förberett</w:t>
            </w:r>
          </w:p>
        </w:tc>
        <w:tc>
          <w:tcPr>
            <w:tcW w:type="dxa" w:w="4876"/>
          </w:tcPr>
          <w:p>
            <w:r>
              <w:t>Eleven får i förväg veta hur provet ser ut, vilka uppgiftstyper som kommer och vad som ska kunnas, gärna med ett exempelprov. Eleven får hjälp att planera repetitionen med korta självtest.</w:t>
            </w:r>
          </w:p>
          <w:p>
            <w:r>
              <w:rPr>
                <w:i/>
                <w:color w:val="666666"/>
                <w:sz w:val="15"/>
              </w:rPr>
              <w:t>Källa: Rosenshine 2012 (repetition); beprövad praxis. Se även: Tipsbanken: Självständigt arbete</w:t>
            </w:r>
          </w:p>
        </w:tc>
        <w:tc>
          <w:tcPr>
            <w:tcW w:type="dxa" w:w="3175"/>
          </w:tcPr>
          <w:p>
            <w:r>
              <w:t>Eleven får provets upplägg och exempeluppgifter i förväg samt stöd att planera repetitionen.</w:t>
            </w:r>
          </w:p>
        </w:tc>
        <w:tc>
          <w:tcPr>
            <w:tcW w:type="dxa" w:w="2948"/>
          </w:tcPr>
          <w:p>
            <w:r>
              <w:t>Fråga eleven om oron inför prov minskat och följ resultaten.</w:t>
            </w:r>
          </w:p>
        </w:tc>
        <w:tc>
          <w:tcPr>
            <w:tcW w:type="dxa" w:w="1191"/>
          </w:tcPr>
          <w:p>
            <w:r>
              <w:t>4–6, 7–9</w:t>
              <w:br/>
              <w:t>Beprövad</w:t>
            </w:r>
          </w:p>
        </w:tc>
      </w:tr>
    </w:tbl>
    <w:p>
      <w:r>
        <w:br w:type="page"/>
      </w:r>
    </w:p>
    <w:p>
      <w:pPr>
        <w:pStyle w:val="Heading1"/>
      </w:pPr>
      <w:r>
        <w:t>Källor</w:t>
      </w:r>
    </w:p>
    <w:p>
      <w:pPr>
        <w:pStyle w:val="ListBullet"/>
      </w:pPr>
      <w:r>
        <w:t>Levla lärmiljön, Anpassningsbank skola och fritidshem, Umeå kommun 2025.</w:t>
      </w:r>
    </w:p>
    <w:p>
      <w:pPr>
        <w:pStyle w:val="ListBullet"/>
      </w:pPr>
      <w:r>
        <w:t>Tipsbanken Skola, Gunilla Carlsson Kendall och David Edfelt, psykologdavid.se/tipsbanken (hämtad 2026-10-17).</w:t>
      </w:r>
    </w:p>
    <w:p>
      <w:pPr>
        <w:pStyle w:val="ListBullet"/>
      </w:pPr>
      <w:r>
        <w:t>Skolverket (2022). Allmänna råd om arbete med extra anpassningar, särskilt stöd och åtgärdsprogram, SKOLFS 2022:334.</w:t>
      </w:r>
    </w:p>
    <w:p>
      <w:pPr>
        <w:pStyle w:val="ListBullet"/>
      </w:pPr>
      <w:r>
        <w:t>Prop. 2013/14:160 Tydligare om tillgänglighet, extra anpassningar och särskilt stöd.</w:t>
      </w:r>
    </w:p>
    <w:p>
      <w:pPr>
        <w:pStyle w:val="ListBullet"/>
      </w:pPr>
      <w:r>
        <w:t>SPSM (2026). Stödmaterial för tillgänglig utbildning. SPSM (2025). Forskningsöversikt om närvarofrämjande insatser.</w:t>
      </w:r>
    </w:p>
    <w:p>
      <w:pPr>
        <w:pStyle w:val="ListBullet"/>
      </w:pPr>
      <w:r>
        <w:t>Skolforskningsinstitutet (2018). Språk- och kunskapsutvecklande undervisning i det flerspråkiga klassrummet, 2018:02.</w:t>
      </w:r>
    </w:p>
    <w:p>
      <w:pPr>
        <w:pStyle w:val="ListBullet"/>
      </w:pPr>
      <w:r>
        <w:t>Davies &amp; Henderson (2020). Special Educational Needs in Mainstream Schools. EEF. EEF (2019). Improving Behaviour in Schools.</w:t>
      </w:r>
    </w:p>
    <w:p>
      <w:pPr>
        <w:pStyle w:val="ListBullet"/>
      </w:pPr>
      <w:r>
        <w:t>Epstein m.fl. (2008). Reducing Behavior Problems in the Elementary School Classroom. WWC.</w:t>
      </w:r>
    </w:p>
    <w:p>
      <w:pPr>
        <w:pStyle w:val="ListBullet"/>
      </w:pPr>
      <w:r>
        <w:t>Fuchs m.fl. (2021). Assisting Students Struggling with Mathematics. WWC.</w:t>
      </w:r>
    </w:p>
    <w:p>
      <w:pPr>
        <w:pStyle w:val="ListBullet"/>
      </w:pPr>
      <w:r>
        <w:t>Foorman m.fl. (2016). Foundational Skills to Support Reading for Understanding. WWC.</w:t>
      </w:r>
    </w:p>
    <w:p>
      <w:pPr>
        <w:pStyle w:val="ListBullet"/>
      </w:pPr>
      <w:r>
        <w:t>Baker m.fl. (2014). Teaching Academic Content and Literacy to English Learners. WWC.</w:t>
      </w:r>
    </w:p>
    <w:p>
      <w:pPr>
        <w:pStyle w:val="ListBullet"/>
      </w:pPr>
      <w:r>
        <w:t>Rosenshine (2012). Principles of Instruction. American Educator.</w:t>
      </w:r>
    </w:p>
    <w:p>
      <w:pPr>
        <w:pStyle w:val="ListBullet"/>
      </w:pPr>
      <w:r>
        <w:t>Metaanalyser och översikter: Therrien 2004; Wood m.fl. 2018; Graham &amp; Santangelo 2014; Graham, Harris &amp; McKeown 2013; Dexter &amp; Hughes 2011; Gersten m.fl. 2009; Bouck m.fl. 2018; Burns m.fl. 2010; Gaastra m.fl. 2016; Vannest m.fl. 2010; Soares m.fl. 2016; Royer m.fl. 2017 och 2019; Wolfe m.fl. 2016; Maggin m.fl. 2015; Knight m.fl. 2015; Steinbrenner m.fl. 2020; Langberg m.fl. 2017; Watson m.fl. 2017; Daly-Smith m.fl. 2018; Maynard m.fl. 2012; Eklund m.fl. 2022; Ebbels m.fl. 2019; Koegel m.fl. 2003; Kokina &amp; Kern 2010; Graziano m.fl. 2020.</w:t>
      </w:r>
    </w:p>
    <w:p>
      <w:pPr>
        <w:pStyle w:val="ListBullet"/>
      </w:pPr>
      <w:r>
        <w:t>Om utelämnade metoder: Pashler m.fl. 2008 (lärstilar); Griffiths m.fl. 2016 (overlays); Wery &amp; Diliberto 2017 (dyslexitypsnitt); Stephenson &amp; Carter 2009 (viktvästar); Melby-Lervåg m.fl. 2016 (arbetsminnesträning).</w:t>
      </w:r>
    </w:p>
    <w:p>
      <w:pPr>
        <w:pStyle w:val="ListBullet"/>
      </w:pPr>
      <w:r>
        <w:t>Fullständig källförteckning med länkar: kallor/forskningsunderlag.md.</w:t>
      </w:r>
    </w:p>
    <w:sectPr w:rsidR="00FC693F" w:rsidRPr="0006063C" w:rsidSect="00034616">
      <w:pgSz w:w="16838" w:h="11906" w:orient="landscape"/>
      <w:pgMar w:top="794" w:right="850" w:bottom="794"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